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113E541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1B4332"/>
            <w:tcMar>
              <w:top w:w="400" w:type="dxa"/>
              <w:left w:w="400" w:type="dxa"/>
              <w:bottom w:w="400" w:type="dxa"/>
              <w:right w:w="400" w:type="dxa"/>
            </w:tcMar>
          </w:tcPr>
          <w:p w14:paraId="3547369E" w14:textId="77777777" w:rsidR="00E47100" w:rsidRDefault="00000000">
            <w:pPr>
              <w:jc w:val="center"/>
            </w:pPr>
            <w:proofErr w:type="spellStart"/>
            <w:r>
              <w:rPr>
                <w:rFonts w:ascii="Georgia" w:eastAsia="Georgia" w:hAnsi="Georgia" w:cs="Georgia"/>
                <w:b/>
                <w:bCs/>
                <w:color w:val="FFFFFF"/>
                <w:sz w:val="52"/>
                <w:szCs w:val="52"/>
              </w:rPr>
              <w:t>GREEN</w:t>
            </w:r>
            <w:proofErr w:type="spellEnd"/>
            <w:r>
              <w:rPr>
                <w:rFonts w:ascii="Georgia" w:eastAsia="Georgia" w:hAnsi="Georgia" w:cs="Georgia"/>
                <w:b/>
                <w:bCs/>
                <w:color w:val="FFFFFF"/>
                <w:sz w:val="52"/>
                <w:szCs w:val="52"/>
              </w:rPr>
              <w:t xml:space="preserve"> </w:t>
            </w:r>
            <w:proofErr w:type="spellStart"/>
            <w:r>
              <w:rPr>
                <w:rFonts w:ascii="Georgia" w:eastAsia="Georgia" w:hAnsi="Georgia" w:cs="Georgia"/>
                <w:b/>
                <w:bCs/>
                <w:color w:val="FFFFFF"/>
                <w:sz w:val="52"/>
                <w:szCs w:val="52"/>
              </w:rPr>
              <w:t>MANSION</w:t>
            </w:r>
            <w:proofErr w:type="spellEnd"/>
          </w:p>
          <w:p w14:paraId="08070B04" w14:textId="77777777" w:rsidR="00E47100" w:rsidRDefault="00000000">
            <w:pPr>
              <w:spacing w:before="100"/>
              <w:jc w:val="center"/>
            </w:pPr>
            <w:r>
              <w:rPr>
                <w:i/>
                <w:iCs/>
                <w:color w:val="52B788"/>
                <w:sz w:val="22"/>
                <w:szCs w:val="22"/>
              </w:rPr>
              <w:t>İstanbul, Fatih</w:t>
            </w:r>
          </w:p>
        </w:tc>
      </w:tr>
    </w:tbl>
    <w:p w14:paraId="1F2D0D0A" w14:textId="77777777" w:rsidR="00E47100" w:rsidRDefault="00E47100">
      <w:pPr>
        <w:spacing w:after="300"/>
      </w:pPr>
    </w:p>
    <w:p w14:paraId="1E59F6D3" w14:textId="77777777" w:rsidR="00E47100" w:rsidRDefault="00000000">
      <w:pPr>
        <w:spacing w:before="200" w:after="100"/>
        <w:jc w:val="center"/>
      </w:pPr>
      <w:r>
        <w:rPr>
          <w:rFonts w:ascii="Georgia" w:eastAsia="Georgia" w:hAnsi="Georgia" w:cs="Georgia"/>
          <w:b/>
          <w:bCs/>
          <w:color w:val="1B4332"/>
          <w:sz w:val="44"/>
          <w:szCs w:val="44"/>
        </w:rPr>
        <w:t>SÜRDÜRÜLEBİLİRLİK RAPORU</w:t>
      </w:r>
    </w:p>
    <w:p w14:paraId="7C5ECD59" w14:textId="77777777" w:rsidR="00E47100" w:rsidRDefault="00000000">
      <w:pPr>
        <w:spacing w:before="80" w:after="200"/>
        <w:jc w:val="center"/>
      </w:pPr>
      <w:proofErr w:type="spellStart"/>
      <w:r>
        <w:rPr>
          <w:b/>
          <w:bCs/>
          <w:color w:val="B5893A"/>
          <w:sz w:val="24"/>
          <w:szCs w:val="24"/>
        </w:rPr>
        <w:t>GSTC</w:t>
      </w:r>
      <w:proofErr w:type="spellEnd"/>
      <w:r>
        <w:rPr>
          <w:b/>
          <w:bCs/>
          <w:color w:val="B5893A"/>
          <w:sz w:val="24"/>
          <w:szCs w:val="24"/>
        </w:rPr>
        <w:t xml:space="preserve"> Sürdürülebilir Turizm Kriterleri — Aşama 3</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504"/>
      </w:tblGrid>
      <w:tr w:rsidR="00E47100" w14:paraId="7B15A352" w14:textId="77777777" w:rsidTr="002B0552">
        <w:tblPrEx>
          <w:tblCellMar>
            <w:top w:w="0" w:type="dxa"/>
            <w:bottom w:w="0" w:type="dxa"/>
          </w:tblCellMar>
        </w:tblPrEx>
        <w:trPr>
          <w:trHeight w:val="559"/>
        </w:trPr>
        <w:tc>
          <w:tcPr>
            <w:tcW w:w="0" w:type="auto"/>
            <w:tcBorders>
              <w:top w:val="single" w:sz="6" w:space="0" w:color="B5893A"/>
              <w:left w:val="none" w:sz="0" w:space="0" w:color="FFFFFF"/>
              <w:bottom w:val="single" w:sz="6" w:space="0" w:color="B5893A"/>
              <w:right w:val="none" w:sz="0" w:space="0" w:color="FFFFFF"/>
            </w:tcBorders>
            <w:shd w:val="clear" w:color="auto" w:fill="FDF6EC"/>
            <w:tcMar>
              <w:top w:w="160" w:type="dxa"/>
              <w:left w:w="200" w:type="dxa"/>
              <w:bottom w:w="160" w:type="dxa"/>
              <w:right w:w="200" w:type="dxa"/>
            </w:tcMar>
          </w:tcPr>
          <w:p w14:paraId="5BF8C139" w14:textId="77777777" w:rsidR="00E47100" w:rsidRDefault="00000000">
            <w:pPr>
              <w:spacing w:after="60"/>
              <w:jc w:val="center"/>
            </w:pPr>
            <w:r>
              <w:rPr>
                <w:i/>
                <w:iCs/>
                <w:color w:val="B5893A"/>
              </w:rPr>
              <w:t>Tam Uyum Sürdürülebilirlik Değerlendirmesi</w:t>
            </w:r>
          </w:p>
          <w:p w14:paraId="71198524" w14:textId="77777777" w:rsidR="00E47100" w:rsidRDefault="00000000">
            <w:pPr>
              <w:jc w:val="center"/>
            </w:pPr>
            <w:r>
              <w:rPr>
                <w:color w:val="6B6B6B"/>
              </w:rPr>
              <w:t>2025 Yılı Raporu</w:t>
            </w:r>
          </w:p>
        </w:tc>
      </w:tr>
    </w:tbl>
    <w:p w14:paraId="08277A8D" w14:textId="77777777" w:rsidR="00E47100" w:rsidRDefault="00E47100">
      <w:pPr>
        <w:spacing w:after="400"/>
      </w:pPr>
    </w:p>
    <w:p w14:paraId="6D952D24" w14:textId="77777777" w:rsidR="00E47100" w:rsidRDefault="00000000">
      <w:pPr>
        <w:jc w:val="center"/>
      </w:pPr>
      <w:r>
        <w:rPr>
          <w:color w:val="52B788"/>
          <w:sz w:val="24"/>
          <w:szCs w:val="24"/>
        </w:rPr>
        <w:t>▪  ▪  ▪</w:t>
      </w:r>
    </w:p>
    <w:p w14:paraId="0EF1A795" w14:textId="77777777" w:rsidR="00E47100" w:rsidRDefault="00E47100">
      <w:pPr>
        <w:spacing w:after="200"/>
      </w:pPr>
    </w:p>
    <w:p w14:paraId="67B6A903" w14:textId="77777777" w:rsidR="00E47100" w:rsidRDefault="00000000">
      <w:pPr>
        <w:jc w:val="center"/>
      </w:pPr>
      <w:r>
        <w:rPr>
          <w:color w:val="6B6B6B"/>
          <w:sz w:val="18"/>
          <w:szCs w:val="18"/>
        </w:rPr>
        <w:t>Hazırlanma Tarihi: 2025</w:t>
      </w:r>
    </w:p>
    <w:p w14:paraId="657EC688" w14:textId="77777777" w:rsidR="00E47100" w:rsidRDefault="00000000">
      <w:r>
        <w:br w:type="page"/>
      </w:r>
    </w:p>
    <w:p w14:paraId="4B934591" w14:textId="77777777" w:rsidR="00E47100" w:rsidRDefault="00000000">
      <w:pPr>
        <w:pStyle w:val="Balk1"/>
        <w:pBdr>
          <w:bottom w:val="single" w:sz="8" w:space="4" w:color="52B788"/>
        </w:pBdr>
      </w:pPr>
      <w:r>
        <w:lastRenderedPageBreak/>
        <w:t>YÖNETİCİ ÖZETİ</w:t>
      </w:r>
    </w:p>
    <w:p w14:paraId="6BE0B6AC" w14:textId="77777777" w:rsidR="00E47100" w:rsidRDefault="00E47100">
      <w:pPr>
        <w:spacing w:after="100"/>
      </w:pPr>
    </w:p>
    <w:p w14:paraId="26CCCD03" w14:textId="77777777" w:rsidR="00E47100" w:rsidRDefault="00000000">
      <w:pPr>
        <w:spacing w:before="80" w:after="120" w:line="320" w:lineRule="auto"/>
        <w:jc w:val="both"/>
      </w:pPr>
      <w:proofErr w:type="spellStart"/>
      <w:r>
        <w:t>Green</w:t>
      </w:r>
      <w:proofErr w:type="spellEnd"/>
      <w:r>
        <w:t xml:space="preserve"> </w:t>
      </w:r>
      <w:proofErr w:type="spellStart"/>
      <w:r>
        <w:t>Mansion</w:t>
      </w:r>
      <w:proofErr w:type="spellEnd"/>
      <w:r>
        <w:t>, İstanbul'un tarihi kalbinde, Fatih ilçesinde konumlanmış, sürdürülebilir konaklama anlayışını tarihî doku ile harmanlayan bir butik konaklama tesisidir. Bu rapor, Küresel Sürdürülebilir Turizm Konseyi'nin (</w:t>
      </w:r>
      <w:proofErr w:type="spellStart"/>
      <w:r>
        <w:t>GSTC</w:t>
      </w:r>
      <w:proofErr w:type="spellEnd"/>
      <w:r>
        <w:t>) Otel ve Konaklama Tesisleri için belirlediği Aşama 3 tam uyum kriterlerini esas alarak hazırlanmıştır.</w:t>
      </w:r>
    </w:p>
    <w:p w14:paraId="19E1AE8E" w14:textId="77777777" w:rsidR="00E47100" w:rsidRDefault="00E47100">
      <w:pPr>
        <w:spacing w:after="100"/>
      </w:pPr>
    </w:p>
    <w:p w14:paraId="01F2357D" w14:textId="77777777" w:rsidR="00E47100" w:rsidRDefault="00000000">
      <w:pPr>
        <w:spacing w:before="80" w:after="120" w:line="320" w:lineRule="auto"/>
        <w:jc w:val="both"/>
      </w:pPr>
      <w:r>
        <w:t>Sürdürülebilirlik yolculuğumuz; çevresel sorumluluk, toplumsal katkı, kültürel miras koruma ve ekonomik sürdürülebilirlik olmak üzere dört temel sütun üzerine inşa edilmiştir. Fatih'in tarihi mirası ile yaşayan dokusunun bu denli iç içe geçtiği bir konumda faaliyet göstermek, bizi hem benzersiz fırsatlarla hem de anlamlı sorumluluklarla donatmaktadır.</w:t>
      </w:r>
    </w:p>
    <w:p w14:paraId="43FA9CDB" w14:textId="77777777" w:rsidR="00E47100" w:rsidRDefault="00E47100">
      <w:pPr>
        <w:spacing w:after="100"/>
      </w:pPr>
    </w:p>
    <w:p w14:paraId="006049FE" w14:textId="77777777" w:rsidR="00E47100" w:rsidRDefault="00000000">
      <w:pPr>
        <w:spacing w:before="80" w:after="120" w:line="320" w:lineRule="auto"/>
        <w:jc w:val="both"/>
      </w:pPr>
      <w:r>
        <w:t xml:space="preserve">Bu rapor; politika ve yönetim çerçevemizden çevre uygulamalarına, kültürel miras yönetiminden yerel toplum katılımına kadar tüm sürdürülebilirlik boyutlarını kapsamlı biçimde ele almaktadır. Her bir </w:t>
      </w:r>
      <w:proofErr w:type="spellStart"/>
      <w:r>
        <w:t>GSTC</w:t>
      </w:r>
      <w:proofErr w:type="spellEnd"/>
      <w:r>
        <w:t xml:space="preserve"> kriteri için benimsenen ilkeler, uygulanan politikalar ve süregelen taahhütlerimiz şeffaf bir şekilde aktarılmaktadır.</w:t>
      </w:r>
    </w:p>
    <w:p w14:paraId="090343E2" w14:textId="77777777" w:rsidR="00E47100" w:rsidRDefault="00E47100">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361AD554" w14:textId="77777777">
        <w:tblPrEx>
          <w:tblCellMar>
            <w:top w:w="0" w:type="dxa"/>
            <w:bottom w:w="0" w:type="dxa"/>
          </w:tblCellMar>
        </w:tblPrEx>
        <w:tc>
          <w:tcPr>
            <w:tcW w:w="0" w:type="auto"/>
            <w:tcBorders>
              <w:top w:val="single" w:sz="1" w:space="0" w:color="B5893A"/>
              <w:left w:val="single" w:sz="1" w:space="0" w:color="B5893A"/>
              <w:bottom w:val="single" w:sz="1" w:space="0" w:color="B5893A"/>
              <w:right w:val="single" w:sz="1" w:space="0" w:color="B5893A"/>
            </w:tcBorders>
            <w:shd w:val="clear" w:color="auto" w:fill="FDF6EC"/>
            <w:tcMar>
              <w:top w:w="160" w:type="dxa"/>
              <w:left w:w="200" w:type="dxa"/>
              <w:bottom w:w="160" w:type="dxa"/>
              <w:right w:w="200" w:type="dxa"/>
            </w:tcMar>
          </w:tcPr>
          <w:p w14:paraId="5D4FE7D4" w14:textId="77777777" w:rsidR="00E47100" w:rsidRDefault="00000000">
            <w:pPr>
              <w:spacing w:after="80"/>
            </w:pPr>
            <w:r>
              <w:rPr>
                <w:b/>
                <w:bCs/>
                <w:color w:val="B5893A"/>
              </w:rPr>
              <w:t>Vizyon Beyanımız</w:t>
            </w:r>
          </w:p>
          <w:p w14:paraId="5D7D971B" w14:textId="77777777" w:rsidR="00E47100" w:rsidRDefault="00000000">
            <w:pPr>
              <w:jc w:val="both"/>
            </w:pPr>
            <w:proofErr w:type="spellStart"/>
            <w:r>
              <w:t>Green</w:t>
            </w:r>
            <w:proofErr w:type="spellEnd"/>
            <w:r>
              <w:t xml:space="preserve"> </w:t>
            </w:r>
            <w:proofErr w:type="spellStart"/>
            <w:r>
              <w:t>Mansion</w:t>
            </w:r>
            <w:proofErr w:type="spellEnd"/>
            <w:r>
              <w:t xml:space="preserve"> olarak, Fatih'in eşsiz tarihi ve kültürel mirasını koruyarak geleceğe taşımayı, konuklarımıza otantik bir İstanbul deneyimi yaşatmayı ve bulunduğumuz topluma değer katmayı en temel misyonumuz olarak benimsiyoruz. Sürdürülebilirlik bizim için bir ek seçenek değil, işimizin özüdür.</w:t>
            </w:r>
          </w:p>
        </w:tc>
      </w:tr>
    </w:tbl>
    <w:p w14:paraId="3E76CE48" w14:textId="77777777" w:rsidR="00E47100" w:rsidRDefault="00E47100">
      <w:pPr>
        <w:spacing w:after="200"/>
      </w:pPr>
    </w:p>
    <w:p w14:paraId="6ED48708" w14:textId="77777777" w:rsidR="00E47100" w:rsidRDefault="00000000">
      <w:pPr>
        <w:pStyle w:val="Balk1"/>
        <w:pBdr>
          <w:bottom w:val="single" w:sz="8" w:space="4" w:color="52B788"/>
        </w:pBdr>
      </w:pPr>
      <w:r>
        <w:t>TESİS TANITIMI</w:t>
      </w:r>
    </w:p>
    <w:p w14:paraId="6A4D26CE" w14:textId="77777777" w:rsidR="00E47100" w:rsidRDefault="00E47100">
      <w:pPr>
        <w:spacing w:after="100"/>
      </w:pPr>
    </w:p>
    <w:p w14:paraId="2CD69211" w14:textId="77777777" w:rsidR="00E47100" w:rsidRDefault="00000000">
      <w:pPr>
        <w:pStyle w:val="Balk2"/>
      </w:pPr>
      <w:r>
        <w:t>Konum ve Tarihsel Bağlam</w:t>
      </w:r>
    </w:p>
    <w:p w14:paraId="3EAE58DD" w14:textId="77777777" w:rsidR="00E47100" w:rsidRDefault="00000000">
      <w:pPr>
        <w:spacing w:before="80" w:after="120" w:line="320" w:lineRule="auto"/>
        <w:jc w:val="both"/>
      </w:pPr>
      <w:proofErr w:type="spellStart"/>
      <w:r>
        <w:t>Green</w:t>
      </w:r>
      <w:proofErr w:type="spellEnd"/>
      <w:r>
        <w:t xml:space="preserve"> </w:t>
      </w:r>
      <w:proofErr w:type="spellStart"/>
      <w:r>
        <w:t>Mansion</w:t>
      </w:r>
      <w:proofErr w:type="spellEnd"/>
      <w:r>
        <w:t>, İstanbul'un Fatih ilçesinde, UNESCO Dünya Mirası Listesi'ndeki tarihi yarımadanın kalbinde yer almaktadır. Ayasofya, Topkapı Sarayı, Kapalıçarşı ve Sultanahmet Camii gibi kültürel simgelere yürüme mesafesindeki konumuyla tesis, Bizans ve Osmanlı medeniyetlerinin izlerini taşıyan eşsiz bir kentsel doku içindedir.</w:t>
      </w:r>
    </w:p>
    <w:p w14:paraId="4193E316" w14:textId="77777777" w:rsidR="00E47100" w:rsidRDefault="00E47100">
      <w:pPr>
        <w:spacing w:after="100"/>
      </w:pPr>
    </w:p>
    <w:p w14:paraId="617BA3CC" w14:textId="77777777" w:rsidR="00E47100" w:rsidRDefault="00000000">
      <w:pPr>
        <w:spacing w:before="80" w:after="120" w:line="320" w:lineRule="auto"/>
        <w:jc w:val="both"/>
      </w:pPr>
      <w:r>
        <w:t xml:space="preserve">Fatih, İstanbul'un en yoğun tarihî ve kültürel katmanlarına ev sahipliği yapmasının yanı sıra aktif bir ticaret ve yerleşim merkezi olmayı sürdürmektedir. Bu durum, </w:t>
      </w:r>
      <w:proofErr w:type="spellStart"/>
      <w:r>
        <w:t>Green</w:t>
      </w:r>
      <w:proofErr w:type="spellEnd"/>
      <w:r>
        <w:t xml:space="preserve"> </w:t>
      </w:r>
      <w:proofErr w:type="spellStart"/>
      <w:r>
        <w:t>Mansion'a</w:t>
      </w:r>
      <w:proofErr w:type="spellEnd"/>
      <w:r>
        <w:t xml:space="preserve"> konaklama hizmetinin ötesinde, kültürel köprü kurma ve toplumsal kalkınmaya katkı sağlama sorumluluğunu da yüklemektedir.</w:t>
      </w:r>
    </w:p>
    <w:p w14:paraId="5F47BD06" w14:textId="77777777" w:rsidR="00E47100" w:rsidRDefault="00E47100">
      <w:pPr>
        <w:spacing w:after="100"/>
      </w:pPr>
    </w:p>
    <w:p w14:paraId="5E2B68F1" w14:textId="77777777" w:rsidR="00E47100" w:rsidRDefault="00000000">
      <w:pPr>
        <w:pStyle w:val="Balk2"/>
      </w:pPr>
      <w:r>
        <w:t>Kurumsal Kimlik ve Değerler</w:t>
      </w:r>
    </w:p>
    <w:p w14:paraId="4265D69E" w14:textId="77777777" w:rsidR="00E47100" w:rsidRDefault="00000000">
      <w:pPr>
        <w:spacing w:before="80" w:after="120" w:line="320" w:lineRule="auto"/>
        <w:jc w:val="both"/>
      </w:pPr>
      <w:proofErr w:type="spellStart"/>
      <w:r>
        <w:t>Green</w:t>
      </w:r>
      <w:proofErr w:type="spellEnd"/>
      <w:r>
        <w:t xml:space="preserve"> </w:t>
      </w:r>
      <w:proofErr w:type="spellStart"/>
      <w:r>
        <w:t>Mansion</w:t>
      </w:r>
      <w:proofErr w:type="spellEnd"/>
      <w:r>
        <w:t>; özgün mimari yapısını koruyarak restorasyona tabi tutulmuş tarihi bir konakta faaliyet göstermektedir. Marka kimliğimiz; doğallık, sadelik, saygı ve süreklilik değerleri üzerine kurulmuştur. Yeşil renk paletimiz ile sembollerimiz, çevreye duyduğumuz derin bağlılığı ve Fatih'in yeşil avlularından ilham alan mimari anlayışımızı yansıtmaktadır.</w:t>
      </w:r>
    </w:p>
    <w:p w14:paraId="57E748E8" w14:textId="77777777" w:rsidR="00E47100" w:rsidRDefault="00E47100">
      <w:pPr>
        <w:spacing w:after="100"/>
      </w:pPr>
    </w:p>
    <w:p w14:paraId="5EE4E07E" w14:textId="77777777" w:rsidR="00E47100" w:rsidRDefault="00000000">
      <w:pPr>
        <w:pStyle w:val="Balk1"/>
        <w:pBdr>
          <w:bottom w:val="single" w:sz="8" w:space="4" w:color="52B788"/>
        </w:pBdr>
      </w:pPr>
      <w:proofErr w:type="spellStart"/>
      <w:r>
        <w:t>GSTC</w:t>
      </w:r>
      <w:proofErr w:type="spellEnd"/>
      <w:r>
        <w:t xml:space="preserve"> ÇERÇEVE VE POLİTİKA YÖNETİMİ</w:t>
      </w:r>
    </w:p>
    <w:p w14:paraId="0D85376A" w14:textId="77777777" w:rsidR="00E47100" w:rsidRDefault="00E47100">
      <w:pPr>
        <w:spacing w:after="100"/>
      </w:pPr>
    </w:p>
    <w:p w14:paraId="4AAB97BA" w14:textId="77777777" w:rsidR="00E47100" w:rsidRDefault="00000000">
      <w:pPr>
        <w:spacing w:before="80" w:after="120" w:line="320" w:lineRule="auto"/>
        <w:jc w:val="both"/>
      </w:pPr>
      <w:proofErr w:type="spellStart"/>
      <w:r>
        <w:t>GSTC</w:t>
      </w:r>
      <w:proofErr w:type="spellEnd"/>
      <w:r>
        <w:t xml:space="preserve"> Kriterleri, konaklama tesislerinin sürdürülebilir turizm uygulamalarını hayata geçirmesi için uluslararası alanda kabul görmüş en kapsamlı standarttır. Aşama 3, yönetim, çevre, kültürel miras ve sosyoekonomik boyutlarda tam uyum gerektiren ileri seviye uygulamaları kapsar.</w:t>
      </w:r>
    </w:p>
    <w:p w14:paraId="33E89995" w14:textId="77777777" w:rsidR="00E47100" w:rsidRDefault="00E47100">
      <w:pPr>
        <w:spacing w:after="100"/>
      </w:pPr>
    </w:p>
    <w:p w14:paraId="7D58A8E4" w14:textId="77777777" w:rsidR="00E47100" w:rsidRDefault="00000000">
      <w:pPr>
        <w:pStyle w:val="Balk2"/>
      </w:pPr>
      <w:r>
        <w:t>A — Sürdürülebilir Yönetim</w:t>
      </w:r>
    </w:p>
    <w:p w14:paraId="4D5422C5" w14:textId="77777777" w:rsidR="00E47100" w:rsidRDefault="00E47100">
      <w:pPr>
        <w:spacing w:after="100"/>
      </w:pPr>
    </w:p>
    <w:p w14:paraId="2FC6C7A5" w14:textId="77777777" w:rsidR="00E47100" w:rsidRDefault="00000000">
      <w:pPr>
        <w:pStyle w:val="Balk3"/>
      </w:pPr>
      <w:proofErr w:type="spellStart"/>
      <w:r>
        <w:t>A1</w:t>
      </w:r>
      <w:proofErr w:type="spellEnd"/>
      <w:r>
        <w:t xml:space="preserve"> — Sürdürülebilirlik Politikası</w:t>
      </w:r>
    </w:p>
    <w:p w14:paraId="77E5C3E1" w14:textId="77777777" w:rsidR="00E47100" w:rsidRDefault="00000000">
      <w:pPr>
        <w:spacing w:before="80" w:after="120" w:line="320" w:lineRule="auto"/>
        <w:jc w:val="both"/>
      </w:pPr>
      <w:proofErr w:type="spellStart"/>
      <w:r>
        <w:t>Green</w:t>
      </w:r>
      <w:proofErr w:type="spellEnd"/>
      <w:r>
        <w:t xml:space="preserve"> </w:t>
      </w:r>
      <w:proofErr w:type="spellStart"/>
      <w:r>
        <w:t>Mansion</w:t>
      </w:r>
      <w:proofErr w:type="spellEnd"/>
      <w:r>
        <w:t xml:space="preserve">, tüm operasyonlarını yönlendiren kapsamlı bir Sürdürülebilirlik </w:t>
      </w:r>
      <w:proofErr w:type="spellStart"/>
      <w:r>
        <w:t>Politikası'na</w:t>
      </w:r>
      <w:proofErr w:type="spellEnd"/>
      <w:r>
        <w:t xml:space="preserve"> sahiptir. Bu politika; çevresel yük azaltma, yerel topluma katkı, kültürel mirası koruma ve ekonomik denge ilkelerini kapsayan somut taahhütler içermektedir. Politika belgesi konuklara, tedarikçilere ve çalışanlara açık biçimde iletilmekte; lobi alanında görüntülenmekte ve dijital platformlarda paylaşılmaktadır.</w:t>
      </w:r>
    </w:p>
    <w:p w14:paraId="44987EC2"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1F5A0C67"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2943A13C"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228D3C96"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10F5EF54"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C9A90F3" w14:textId="77777777" w:rsidR="00E47100" w:rsidRDefault="00000000">
            <w:proofErr w:type="spellStart"/>
            <w:r>
              <w:rPr>
                <w:b/>
                <w:bCs/>
                <w:color w:val="1B4332"/>
                <w:sz w:val="18"/>
                <w:szCs w:val="18"/>
              </w:rPr>
              <w:t>A1</w:t>
            </w:r>
            <w:proofErr w:type="spellEnd"/>
            <w:r>
              <w:rPr>
                <w:b/>
                <w:bCs/>
                <w:color w:val="1B4332"/>
                <w:sz w:val="18"/>
                <w:szCs w:val="18"/>
              </w:rPr>
              <w:t xml:space="preserve"> – Politika</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30B7A9B2" w14:textId="77777777" w:rsidR="00E47100" w:rsidRDefault="00000000">
            <w:pPr>
              <w:jc w:val="both"/>
            </w:pPr>
            <w:r>
              <w:rPr>
                <w:sz w:val="18"/>
                <w:szCs w:val="18"/>
              </w:rPr>
              <w:t>Yazılı sürdürülebilirlik politikası oluşturulmuş, yıllık gözden geçirme takvimi belirlenmiştir. Politika dört dilde (Türkçe, İngilizce, Arapça, Almanca) hazırlanmıştır.</w:t>
            </w:r>
          </w:p>
        </w:tc>
      </w:tr>
      <w:tr w:rsidR="00E47100" w14:paraId="1A7E977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EB1EF1" w14:textId="77777777" w:rsidR="00E47100" w:rsidRDefault="00000000">
            <w:proofErr w:type="spellStart"/>
            <w:r>
              <w:rPr>
                <w:b/>
                <w:bCs/>
                <w:color w:val="1B4332"/>
                <w:sz w:val="18"/>
                <w:szCs w:val="18"/>
              </w:rPr>
              <w:t>A2</w:t>
            </w:r>
            <w:proofErr w:type="spellEnd"/>
            <w:r>
              <w:rPr>
                <w:b/>
                <w:bCs/>
                <w:color w:val="1B4332"/>
                <w:sz w:val="18"/>
                <w:szCs w:val="18"/>
              </w:rPr>
              <w:t xml:space="preserve"> – Uyum</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80ECA95" w14:textId="77777777" w:rsidR="00E47100" w:rsidRDefault="00000000">
            <w:pPr>
              <w:jc w:val="both"/>
            </w:pPr>
            <w:r>
              <w:rPr>
                <w:sz w:val="18"/>
                <w:szCs w:val="18"/>
              </w:rPr>
              <w:t>Yerel mevzuat, çevre kanunları, iş güvenliği ve kültürel miras koruma mevzuatına tam uyum sağlanmaktadır. İlgili lisans ve izinler güncel tutulmaktadır.</w:t>
            </w:r>
          </w:p>
        </w:tc>
      </w:tr>
      <w:tr w:rsidR="00E47100" w14:paraId="4E571FB8"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58561D6" w14:textId="77777777" w:rsidR="00E47100" w:rsidRDefault="00000000">
            <w:proofErr w:type="spellStart"/>
            <w:r>
              <w:rPr>
                <w:b/>
                <w:bCs/>
                <w:color w:val="1B4332"/>
                <w:sz w:val="18"/>
                <w:szCs w:val="18"/>
              </w:rPr>
              <w:t>A3</w:t>
            </w:r>
            <w:proofErr w:type="spellEnd"/>
            <w:r>
              <w:rPr>
                <w:b/>
                <w:bCs/>
                <w:color w:val="1B4332"/>
                <w:sz w:val="18"/>
                <w:szCs w:val="18"/>
              </w:rPr>
              <w:t xml:space="preserve"> – Personel Eğitimi</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69070BA8" w14:textId="77777777" w:rsidR="00E47100" w:rsidRDefault="00000000">
            <w:pPr>
              <w:jc w:val="both"/>
            </w:pPr>
            <w:r>
              <w:rPr>
                <w:sz w:val="18"/>
                <w:szCs w:val="18"/>
              </w:rPr>
              <w:t>Tüm personele sürdürülebilirlik uygulamaları, kültürel hassasiyet ve acil durum prosedürleri kapsamında yıllık eğitim verilmektedir.</w:t>
            </w:r>
          </w:p>
        </w:tc>
      </w:tr>
      <w:tr w:rsidR="00E47100" w14:paraId="171BA6EA"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68C110" w14:textId="77777777" w:rsidR="00E47100" w:rsidRDefault="00000000">
            <w:proofErr w:type="spellStart"/>
            <w:r>
              <w:rPr>
                <w:b/>
                <w:bCs/>
                <w:color w:val="1B4332"/>
                <w:sz w:val="18"/>
                <w:szCs w:val="18"/>
              </w:rPr>
              <w:t>A4</w:t>
            </w:r>
            <w:proofErr w:type="spellEnd"/>
            <w:r>
              <w:rPr>
                <w:b/>
                <w:bCs/>
                <w:color w:val="1B4332"/>
                <w:sz w:val="18"/>
                <w:szCs w:val="18"/>
              </w:rPr>
              <w:t xml:space="preserve"> – Konuk Bilgilendirme</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C3803D" w14:textId="77777777" w:rsidR="00E47100" w:rsidRDefault="00000000">
            <w:pPr>
              <w:jc w:val="both"/>
            </w:pPr>
            <w:r>
              <w:rPr>
                <w:sz w:val="18"/>
                <w:szCs w:val="18"/>
              </w:rPr>
              <w:t>Konuklara sürdürülebilirlik politikaları, yerel kültüre saygı ilkeleri ve çevre dostu davranış önerileri ilgi çekici materyaller aracılığıyla iletilmektedir.</w:t>
            </w:r>
          </w:p>
        </w:tc>
      </w:tr>
      <w:tr w:rsidR="00E47100" w14:paraId="15302A34"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ADF1123" w14:textId="77777777" w:rsidR="00E47100" w:rsidRDefault="00000000">
            <w:proofErr w:type="spellStart"/>
            <w:r>
              <w:rPr>
                <w:b/>
                <w:bCs/>
                <w:color w:val="1B4332"/>
                <w:sz w:val="18"/>
                <w:szCs w:val="18"/>
              </w:rPr>
              <w:t>A5</w:t>
            </w:r>
            <w:proofErr w:type="spellEnd"/>
            <w:r>
              <w:rPr>
                <w:b/>
                <w:bCs/>
                <w:color w:val="1B4332"/>
                <w:sz w:val="18"/>
                <w:szCs w:val="18"/>
              </w:rPr>
              <w:t xml:space="preserve"> – Tedarik Zinciri</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AA1330B" w14:textId="77777777" w:rsidR="00E47100" w:rsidRDefault="00000000">
            <w:pPr>
              <w:jc w:val="both"/>
            </w:pPr>
            <w:r>
              <w:rPr>
                <w:sz w:val="18"/>
                <w:szCs w:val="18"/>
              </w:rPr>
              <w:t>Tedarikçi seçiminde çevresel ve sosyal kriterler esas alınmaktadır. Yerel ve organik ürün tercih politikası uygulanmaktadır.</w:t>
            </w:r>
          </w:p>
        </w:tc>
      </w:tr>
    </w:tbl>
    <w:p w14:paraId="73CFD472" w14:textId="77777777" w:rsidR="00E47100" w:rsidRDefault="00E47100">
      <w:pPr>
        <w:spacing w:after="200"/>
      </w:pPr>
    </w:p>
    <w:p w14:paraId="0716052A" w14:textId="77777777" w:rsidR="00E47100" w:rsidRDefault="00000000">
      <w:pPr>
        <w:pStyle w:val="Balk3"/>
      </w:pPr>
      <w:proofErr w:type="spellStart"/>
      <w:r>
        <w:t>A6</w:t>
      </w:r>
      <w:proofErr w:type="spellEnd"/>
      <w:r>
        <w:t xml:space="preserve"> — Sürdürülebilirlik Yönetim Sistemi</w:t>
      </w:r>
    </w:p>
    <w:p w14:paraId="72D0D760" w14:textId="77777777" w:rsidR="00E47100" w:rsidRDefault="00000000">
      <w:pPr>
        <w:spacing w:before="80" w:after="120" w:line="320" w:lineRule="auto"/>
        <w:jc w:val="both"/>
      </w:pPr>
      <w:r>
        <w:t>Tesisin tüm sürdürülebilirlik faaliyetleri, atanan bir Sürdürülebilirlik Koordinatörü tarafından yönetilmektedir. Yıllık hedefler ve bu hedeflere yönelik eylem planları hazırlanmakta; altı aylık performans değerlendirmeleri ile güncellenmektedir.</w:t>
      </w:r>
    </w:p>
    <w:p w14:paraId="50E363C7"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79F85AD1" w14:textId="77777777">
        <w:tblPrEx>
          <w:tblCellMar>
            <w:top w:w="0" w:type="dxa"/>
            <w:bottom w:w="0" w:type="dxa"/>
          </w:tblCellMar>
        </w:tblPrEx>
        <w:tc>
          <w:tcPr>
            <w:tcW w:w="0" w:type="auto"/>
            <w:tcBorders>
              <w:top w:val="single" w:sz="1" w:space="0" w:color="2D6A4F"/>
              <w:left w:val="single" w:sz="1" w:space="0" w:color="2D6A4F"/>
              <w:bottom w:val="single" w:sz="1" w:space="0" w:color="2D6A4F"/>
              <w:right w:val="single" w:sz="1" w:space="0" w:color="2D6A4F"/>
            </w:tcBorders>
            <w:shd w:val="clear" w:color="auto" w:fill="D8F3DC"/>
            <w:tcMar>
              <w:top w:w="160" w:type="dxa"/>
              <w:left w:w="200" w:type="dxa"/>
              <w:bottom w:w="160" w:type="dxa"/>
              <w:right w:w="200" w:type="dxa"/>
            </w:tcMar>
          </w:tcPr>
          <w:p w14:paraId="3E77A455" w14:textId="77777777" w:rsidR="00E47100" w:rsidRDefault="00000000">
            <w:pPr>
              <w:spacing w:after="80"/>
            </w:pPr>
            <w:r>
              <w:rPr>
                <w:b/>
                <w:bCs/>
                <w:color w:val="1B4332"/>
              </w:rPr>
              <w:t>Yönetim Taahhüdü</w:t>
            </w:r>
          </w:p>
          <w:p w14:paraId="0EE81EF5" w14:textId="77777777" w:rsidR="00E47100" w:rsidRDefault="00000000">
            <w:pPr>
              <w:jc w:val="both"/>
            </w:pPr>
            <w:proofErr w:type="spellStart"/>
            <w:r>
              <w:t>Green</w:t>
            </w:r>
            <w:proofErr w:type="spellEnd"/>
            <w:r>
              <w:t xml:space="preserve"> </w:t>
            </w:r>
            <w:proofErr w:type="spellStart"/>
            <w:r>
              <w:t>Mansion</w:t>
            </w:r>
            <w:proofErr w:type="spellEnd"/>
            <w:r>
              <w:t xml:space="preserve"> yönetimi, sürdürülebilirlik hedeflerini kurumun stratejik öncelikleri arasında tutmayı ve bu doğrultuda gereken kaynakları tahsis etmeyi taahhüt eder. Her yıl hazırlanan sürdürülebilirlik raporu kamuya açık olarak paylaşılır.</w:t>
            </w:r>
          </w:p>
        </w:tc>
      </w:tr>
    </w:tbl>
    <w:p w14:paraId="47C0FE82" w14:textId="77777777" w:rsidR="00E47100" w:rsidRDefault="00E47100">
      <w:pPr>
        <w:spacing w:after="200"/>
      </w:pPr>
    </w:p>
    <w:p w14:paraId="51F0A15C" w14:textId="77777777" w:rsidR="00E47100" w:rsidRDefault="00000000">
      <w:pPr>
        <w:pStyle w:val="Balk1"/>
        <w:pBdr>
          <w:bottom w:val="single" w:sz="8" w:space="4" w:color="52B788"/>
        </w:pBdr>
      </w:pPr>
      <w:r>
        <w:t>ÇEVRESEL SÜRDÜRÜLEBİLİRLİK</w:t>
      </w:r>
    </w:p>
    <w:p w14:paraId="176B21FD" w14:textId="77777777" w:rsidR="00E47100" w:rsidRDefault="00E47100">
      <w:pPr>
        <w:spacing w:after="100"/>
      </w:pPr>
    </w:p>
    <w:p w14:paraId="0403990B" w14:textId="77777777" w:rsidR="00E47100" w:rsidRDefault="00000000">
      <w:pPr>
        <w:spacing w:before="80" w:after="120" w:line="320" w:lineRule="auto"/>
        <w:jc w:val="both"/>
      </w:pPr>
      <w:proofErr w:type="spellStart"/>
      <w:r>
        <w:lastRenderedPageBreak/>
        <w:t>GSTC</w:t>
      </w:r>
      <w:proofErr w:type="spellEnd"/>
      <w:r>
        <w:t xml:space="preserve"> B Bölümü kapsamında, </w:t>
      </w:r>
      <w:proofErr w:type="spellStart"/>
      <w:r>
        <w:t>Green</w:t>
      </w:r>
      <w:proofErr w:type="spellEnd"/>
      <w:r>
        <w:t xml:space="preserve"> </w:t>
      </w:r>
      <w:proofErr w:type="spellStart"/>
      <w:r>
        <w:t>Mansion</w:t>
      </w:r>
      <w:proofErr w:type="spellEnd"/>
      <w:r>
        <w:t xml:space="preserve"> tesisi çevresel etkisini en aza indirmeyi, doğal kaynakları korumayı ve iklim değişikliğine katkısını azaltmayı öncelikli hedef olarak benimsemektedir. Tarihi bir yapıda faaliyet göstermenin getirdiği kısıtlar dahilinde, teknik ve davranışsal düzeyde kapsamlı uygulamalar hayata geçirilmiştir.</w:t>
      </w:r>
    </w:p>
    <w:p w14:paraId="1912DBF8" w14:textId="77777777" w:rsidR="00E47100" w:rsidRDefault="00E47100">
      <w:pPr>
        <w:spacing w:after="100"/>
      </w:pPr>
    </w:p>
    <w:p w14:paraId="038D6994" w14:textId="77777777" w:rsidR="00E47100" w:rsidRDefault="00000000">
      <w:pPr>
        <w:pStyle w:val="Balk2"/>
      </w:pPr>
      <w:proofErr w:type="spellStart"/>
      <w:r>
        <w:t>B1-B4</w:t>
      </w:r>
      <w:proofErr w:type="spellEnd"/>
      <w:r>
        <w:t xml:space="preserve"> — Enerji Yönetimi</w:t>
      </w:r>
    </w:p>
    <w:p w14:paraId="6317F3E2" w14:textId="77777777" w:rsidR="00E47100" w:rsidRDefault="00000000">
      <w:pPr>
        <w:spacing w:before="80" w:after="120" w:line="320" w:lineRule="auto"/>
        <w:jc w:val="both"/>
      </w:pPr>
      <w:r>
        <w:t>Tesiste enerji tüketimini azaltmaya yönelik çok katmanlı bir yaklaşım benimsenmiştir. Tarihi yapının özgün dokusuna zarar vermeden gerçekleştirilen iyileştirmelerle enerji verimliliği artırılmıştır.</w:t>
      </w:r>
    </w:p>
    <w:p w14:paraId="28F409E2"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10463BEA"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52BE258"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6F970921"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1BD55456"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1753C53" w14:textId="77777777" w:rsidR="00E47100" w:rsidRDefault="00000000">
            <w:proofErr w:type="spellStart"/>
            <w:r>
              <w:rPr>
                <w:b/>
                <w:bCs/>
                <w:color w:val="1B4332"/>
                <w:sz w:val="18"/>
                <w:szCs w:val="18"/>
              </w:rPr>
              <w:t>B1</w:t>
            </w:r>
            <w:proofErr w:type="spellEnd"/>
            <w:r>
              <w:rPr>
                <w:b/>
                <w:bCs/>
                <w:color w:val="1B4332"/>
                <w:sz w:val="18"/>
                <w:szCs w:val="18"/>
              </w:rPr>
              <w:t xml:space="preserve"> – Enerji Tasarrufu</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39981E75" w14:textId="77777777" w:rsidR="00E47100" w:rsidRDefault="00000000">
            <w:pPr>
              <w:jc w:val="both"/>
            </w:pPr>
            <w:r>
              <w:rPr>
                <w:sz w:val="18"/>
                <w:szCs w:val="18"/>
              </w:rPr>
              <w:t>Tüm genel alanlarda LED aydınlatma sistemine geçilmiştir. Hareket sensörlü aydınlatma koridorlar ve hizmet alanlarında kullanılmaktadır. Enerji tüketimi takip sistemi kurulmuştur.</w:t>
            </w:r>
          </w:p>
        </w:tc>
      </w:tr>
      <w:tr w:rsidR="00E47100" w14:paraId="521685C3"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1114F2" w14:textId="77777777" w:rsidR="00E47100" w:rsidRDefault="00000000">
            <w:proofErr w:type="spellStart"/>
            <w:r>
              <w:rPr>
                <w:b/>
                <w:bCs/>
                <w:color w:val="1B4332"/>
                <w:sz w:val="18"/>
                <w:szCs w:val="18"/>
              </w:rPr>
              <w:t>B2</w:t>
            </w:r>
            <w:proofErr w:type="spellEnd"/>
            <w:r>
              <w:rPr>
                <w:b/>
                <w:bCs/>
                <w:color w:val="1B4332"/>
                <w:sz w:val="18"/>
                <w:szCs w:val="18"/>
              </w:rPr>
              <w:t xml:space="preserve"> – Yenilenebilir Enerji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5D8079" w14:textId="77777777" w:rsidR="00E47100" w:rsidRDefault="00000000">
            <w:pPr>
              <w:jc w:val="both"/>
            </w:pPr>
            <w:r>
              <w:rPr>
                <w:sz w:val="18"/>
                <w:szCs w:val="18"/>
              </w:rPr>
              <w:t>Çatı alanının miras kısıtları dahilinde izin verdiği ölçüde güneş paneli sistemi değerlendirilmekte; bölgesel yenilenebilir enerji satın alma anlaşmaları aktif olarak araştırılmaktadır.</w:t>
            </w:r>
          </w:p>
        </w:tc>
      </w:tr>
      <w:tr w:rsidR="00E47100" w14:paraId="511EB18D"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45166195" w14:textId="77777777" w:rsidR="00E47100" w:rsidRDefault="00000000">
            <w:proofErr w:type="spellStart"/>
            <w:r>
              <w:rPr>
                <w:b/>
                <w:bCs/>
                <w:color w:val="1B4332"/>
                <w:sz w:val="18"/>
                <w:szCs w:val="18"/>
              </w:rPr>
              <w:t>B3</w:t>
            </w:r>
            <w:proofErr w:type="spellEnd"/>
            <w:r>
              <w:rPr>
                <w:b/>
                <w:bCs/>
                <w:color w:val="1B4332"/>
                <w:sz w:val="18"/>
                <w:szCs w:val="18"/>
              </w:rPr>
              <w:t xml:space="preserve"> – Su Tüketimi</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6AA5F82" w14:textId="77777777" w:rsidR="00E47100" w:rsidRDefault="00000000">
            <w:pPr>
              <w:jc w:val="both"/>
            </w:pPr>
            <w:r>
              <w:rPr>
                <w:sz w:val="18"/>
                <w:szCs w:val="18"/>
              </w:rPr>
              <w:t>Düşük akışlı armatürler, çift rezervuarlı klozet sistemleri ve havlu/çarşaf yenileme programı hayata geçirilmiştir. Sulama suyu gereksinimi mevsimsel bitki seçimiyle minimize edilmiştir.</w:t>
            </w:r>
          </w:p>
        </w:tc>
      </w:tr>
      <w:tr w:rsidR="00E47100" w14:paraId="475EB3B6"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8E5853" w14:textId="77777777" w:rsidR="00E47100" w:rsidRDefault="00000000">
            <w:proofErr w:type="spellStart"/>
            <w:r>
              <w:rPr>
                <w:b/>
                <w:bCs/>
                <w:color w:val="1B4332"/>
                <w:sz w:val="18"/>
                <w:szCs w:val="18"/>
              </w:rPr>
              <w:t>B4</w:t>
            </w:r>
            <w:proofErr w:type="spellEnd"/>
            <w:r>
              <w:rPr>
                <w:b/>
                <w:bCs/>
                <w:color w:val="1B4332"/>
                <w:sz w:val="18"/>
                <w:szCs w:val="18"/>
              </w:rPr>
              <w:t xml:space="preserve"> – Su Kalitesi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CDF236B" w14:textId="77777777" w:rsidR="00E47100" w:rsidRDefault="00000000">
            <w:pPr>
              <w:jc w:val="both"/>
            </w:pPr>
            <w:r>
              <w:rPr>
                <w:sz w:val="18"/>
                <w:szCs w:val="18"/>
              </w:rPr>
              <w:t>İçme suyu kalitesi düzenli olarak test edilmektedir. Konuklara çevre dostu toplu su kapları sunulmakta, tek kullanımlık plastik şişe kullanımı kademeli olarak kaldırılmaktadır.</w:t>
            </w:r>
          </w:p>
        </w:tc>
      </w:tr>
    </w:tbl>
    <w:p w14:paraId="17211FEA" w14:textId="77777777" w:rsidR="00E47100" w:rsidRDefault="00E47100">
      <w:pPr>
        <w:spacing w:after="200"/>
      </w:pPr>
    </w:p>
    <w:p w14:paraId="6CD222D4" w14:textId="77777777" w:rsidR="00E47100" w:rsidRDefault="00000000">
      <w:pPr>
        <w:pStyle w:val="Balk2"/>
      </w:pPr>
      <w:proofErr w:type="spellStart"/>
      <w:r>
        <w:t>B5-B8</w:t>
      </w:r>
      <w:proofErr w:type="spellEnd"/>
      <w:r>
        <w:t xml:space="preserve"> — Atık Yönetimi ve Kimyasallar</w:t>
      </w:r>
    </w:p>
    <w:p w14:paraId="548F2284" w14:textId="77777777" w:rsidR="00E47100" w:rsidRDefault="00000000">
      <w:pPr>
        <w:spacing w:before="80" w:after="120" w:line="320" w:lineRule="auto"/>
        <w:jc w:val="both"/>
      </w:pPr>
      <w:r>
        <w:t>Sıfıra yakın atık hedefiyle hareket eden tesis, geri dönüşüm altyapısını güçlendirmiş ve organik atık yönetimi konusunda yerel belediye ile iş birliği protokolü imzalamıştır.</w:t>
      </w:r>
    </w:p>
    <w:p w14:paraId="122BF367"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28ADA7DB"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B257AE7"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27E8CA82"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6A167DC5"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290D531A" w14:textId="77777777" w:rsidR="00E47100" w:rsidRDefault="00000000">
            <w:proofErr w:type="spellStart"/>
            <w:r>
              <w:rPr>
                <w:b/>
                <w:bCs/>
                <w:color w:val="1B4332"/>
                <w:sz w:val="18"/>
                <w:szCs w:val="18"/>
              </w:rPr>
              <w:t>B5</w:t>
            </w:r>
            <w:proofErr w:type="spellEnd"/>
            <w:r>
              <w:rPr>
                <w:b/>
                <w:bCs/>
                <w:color w:val="1B4332"/>
                <w:sz w:val="18"/>
                <w:szCs w:val="18"/>
              </w:rPr>
              <w:t xml:space="preserve"> – Atık Azaltma</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F39DE6A" w14:textId="77777777" w:rsidR="00E47100" w:rsidRDefault="00000000">
            <w:pPr>
              <w:jc w:val="both"/>
            </w:pPr>
            <w:r>
              <w:rPr>
                <w:sz w:val="18"/>
                <w:szCs w:val="18"/>
              </w:rPr>
              <w:t>Tekrar kullanılabilir malzeme kullanımı teşvik edilmekte; tek kullanımlık plastikler aşamalı olarak kaldırılmaktadır. Misafir odalarında ayrıştırılmış çöp kovaları bulunmaktadır.</w:t>
            </w:r>
          </w:p>
        </w:tc>
      </w:tr>
      <w:tr w:rsidR="00E47100" w14:paraId="462EC37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E3D2BE" w14:textId="77777777" w:rsidR="00E47100" w:rsidRDefault="00000000">
            <w:proofErr w:type="spellStart"/>
            <w:r>
              <w:rPr>
                <w:b/>
                <w:bCs/>
                <w:color w:val="1B4332"/>
                <w:sz w:val="18"/>
                <w:szCs w:val="18"/>
              </w:rPr>
              <w:t>B6</w:t>
            </w:r>
            <w:proofErr w:type="spellEnd"/>
            <w:r>
              <w:rPr>
                <w:b/>
                <w:bCs/>
                <w:color w:val="1B4332"/>
                <w:sz w:val="18"/>
                <w:szCs w:val="18"/>
              </w:rPr>
              <w:t xml:space="preserve"> – Tehlikeli Maddeler</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E18BD9B" w14:textId="77777777" w:rsidR="00E47100" w:rsidRDefault="00000000">
            <w:pPr>
              <w:jc w:val="both"/>
            </w:pPr>
            <w:r>
              <w:rPr>
                <w:sz w:val="18"/>
                <w:szCs w:val="18"/>
              </w:rPr>
              <w:t xml:space="preserve">Temizlik ürünleri </w:t>
            </w:r>
            <w:proofErr w:type="spellStart"/>
            <w:r>
              <w:rPr>
                <w:sz w:val="18"/>
                <w:szCs w:val="18"/>
              </w:rPr>
              <w:t>biyobozunur</w:t>
            </w:r>
            <w:proofErr w:type="spellEnd"/>
            <w:r>
              <w:rPr>
                <w:sz w:val="18"/>
                <w:szCs w:val="18"/>
              </w:rPr>
              <w:t xml:space="preserve"> sertifikasına sahip markalar arasından seçilmektedir. Havuz kimyasalları ve diğer tehlikeli maddeler ilgili mevzuata uygun şekilde depolanmakta ve bertaraf edilmektedir.</w:t>
            </w:r>
          </w:p>
        </w:tc>
      </w:tr>
      <w:tr w:rsidR="00E47100" w14:paraId="6A7F5843"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B0CA1B1" w14:textId="77777777" w:rsidR="00E47100" w:rsidRDefault="00000000">
            <w:proofErr w:type="spellStart"/>
            <w:r>
              <w:rPr>
                <w:b/>
                <w:bCs/>
                <w:color w:val="1B4332"/>
                <w:sz w:val="18"/>
                <w:szCs w:val="18"/>
              </w:rPr>
              <w:t>B7</w:t>
            </w:r>
            <w:proofErr w:type="spellEnd"/>
            <w:r>
              <w:rPr>
                <w:b/>
                <w:bCs/>
                <w:color w:val="1B4332"/>
                <w:sz w:val="18"/>
                <w:szCs w:val="18"/>
              </w:rPr>
              <w:t xml:space="preserve"> – Emisyonlar</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EA3BC65" w14:textId="77777777" w:rsidR="00E47100" w:rsidRDefault="00000000">
            <w:pPr>
              <w:jc w:val="both"/>
            </w:pPr>
            <w:r>
              <w:rPr>
                <w:sz w:val="18"/>
                <w:szCs w:val="18"/>
              </w:rPr>
              <w:t>Şehir merkezindeki konumu sayesinde konuklar toplu taşım ve yaya ulaşımına teşvik edilmektedir. Tesis transfer hizmetlerinde düşük emisyonlu araç tercihine öncelik verilmektedir.</w:t>
            </w:r>
          </w:p>
        </w:tc>
      </w:tr>
      <w:tr w:rsidR="00E47100" w14:paraId="264C1ABB"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69FFFF" w14:textId="77777777" w:rsidR="00E47100" w:rsidRDefault="00000000">
            <w:proofErr w:type="spellStart"/>
            <w:r>
              <w:rPr>
                <w:b/>
                <w:bCs/>
                <w:color w:val="1B4332"/>
                <w:sz w:val="18"/>
                <w:szCs w:val="18"/>
              </w:rPr>
              <w:t>B8</w:t>
            </w:r>
            <w:proofErr w:type="spellEnd"/>
            <w:r>
              <w:rPr>
                <w:b/>
                <w:bCs/>
                <w:color w:val="1B4332"/>
                <w:sz w:val="18"/>
                <w:szCs w:val="18"/>
              </w:rPr>
              <w:t xml:space="preserve"> – Gürültü ve Işık Kirliliği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78EA491" w14:textId="77777777" w:rsidR="00E47100" w:rsidRDefault="00000000">
            <w:pPr>
              <w:jc w:val="both"/>
            </w:pPr>
            <w:r>
              <w:rPr>
                <w:sz w:val="18"/>
                <w:szCs w:val="18"/>
              </w:rPr>
              <w:t>Tarihi semtin sakinleri ve doğal çevresi için gece sessizlik saatlerine sıkı biçimde uyulmaktadır. Dış aydınlatmada yönlendirilmiş ve loş ışık sistemleri tercih edilmektedir.</w:t>
            </w:r>
          </w:p>
        </w:tc>
      </w:tr>
    </w:tbl>
    <w:p w14:paraId="50AA396C" w14:textId="77777777" w:rsidR="00E47100" w:rsidRDefault="00E47100">
      <w:pPr>
        <w:spacing w:after="200"/>
      </w:pPr>
    </w:p>
    <w:p w14:paraId="2D69B4A2" w14:textId="77777777" w:rsidR="00E47100" w:rsidRDefault="00000000">
      <w:pPr>
        <w:pStyle w:val="Balk2"/>
      </w:pPr>
      <w:proofErr w:type="spellStart"/>
      <w:r>
        <w:t>B9-B10</w:t>
      </w:r>
      <w:proofErr w:type="spellEnd"/>
      <w:r>
        <w:t xml:space="preserve"> — Biyoçeşitlilik ve Peyzaj</w:t>
      </w:r>
    </w:p>
    <w:p w14:paraId="4B4380DE" w14:textId="77777777" w:rsidR="00E47100" w:rsidRDefault="00000000">
      <w:pPr>
        <w:spacing w:before="80" w:after="120" w:line="320" w:lineRule="auto"/>
        <w:jc w:val="both"/>
      </w:pPr>
      <w:r>
        <w:t>Fatih'in tarihi yarımadasında biyoçeşitlilik alanında doğrudan büyük ölçekli müdahale imkânı kısıtlı olsa da tesis; yerel bitki türleri kullanımı, kuş dostu avlu tasarımı ve kentsel yeşil alan girişimlerine destek ile bu alanda somut katkılar sunmaktadır.</w:t>
      </w:r>
    </w:p>
    <w:p w14:paraId="77B3B291" w14:textId="77777777" w:rsidR="00E47100" w:rsidRDefault="00E47100">
      <w:pPr>
        <w:spacing w:after="100"/>
      </w:pPr>
    </w:p>
    <w:p w14:paraId="43D6506C" w14:textId="77777777" w:rsidR="00E47100" w:rsidRDefault="00000000">
      <w:pPr>
        <w:pStyle w:val="ListeParagraf"/>
        <w:numPr>
          <w:ilvl w:val="0"/>
          <w:numId w:val="2"/>
        </w:numPr>
        <w:spacing w:before="60" w:after="60" w:line="300" w:lineRule="auto"/>
      </w:pPr>
      <w:r>
        <w:t>Avlu ve teras peyzajında yerli ve mevsimlik bitki türleri tercih edilmektedir.</w:t>
      </w:r>
    </w:p>
    <w:p w14:paraId="0FD820B8" w14:textId="77777777" w:rsidR="00E47100" w:rsidRDefault="00000000">
      <w:pPr>
        <w:pStyle w:val="ListeParagraf"/>
        <w:numPr>
          <w:ilvl w:val="0"/>
          <w:numId w:val="2"/>
        </w:numPr>
        <w:spacing w:before="60" w:after="60" w:line="300" w:lineRule="auto"/>
      </w:pPr>
      <w:r>
        <w:t>Tesis çevresindeki tarihi bahçe ve meydan ağaçlarının korunmasına yönelik belediye inisiyatiflerine destek verilmektedir.</w:t>
      </w:r>
    </w:p>
    <w:p w14:paraId="716BF261" w14:textId="77777777" w:rsidR="00E47100" w:rsidRDefault="00000000">
      <w:pPr>
        <w:pStyle w:val="ListeParagraf"/>
        <w:numPr>
          <w:ilvl w:val="0"/>
          <w:numId w:val="2"/>
        </w:numPr>
        <w:spacing w:before="60" w:after="60" w:line="300" w:lineRule="auto"/>
      </w:pPr>
      <w:r>
        <w:t>Konuklara Fatih'teki doğa yürüyüşü ve tarihi bahçe ziyaretleri önerilmektedir.</w:t>
      </w:r>
    </w:p>
    <w:p w14:paraId="553E74A3" w14:textId="77777777" w:rsidR="00E47100" w:rsidRDefault="00E47100">
      <w:pPr>
        <w:spacing w:after="200"/>
      </w:pPr>
    </w:p>
    <w:p w14:paraId="580D85BA" w14:textId="77777777" w:rsidR="00E47100" w:rsidRDefault="00000000">
      <w:pPr>
        <w:pStyle w:val="Balk1"/>
        <w:pBdr>
          <w:bottom w:val="single" w:sz="8" w:space="4" w:color="52B788"/>
        </w:pBdr>
      </w:pPr>
      <w:r>
        <w:t>KÜLTÜREL MİRAS YÖNETİMİ</w:t>
      </w:r>
    </w:p>
    <w:p w14:paraId="19D01BB8" w14:textId="77777777" w:rsidR="00E47100" w:rsidRDefault="00E47100">
      <w:pPr>
        <w:spacing w:after="100"/>
      </w:pPr>
    </w:p>
    <w:p w14:paraId="5FC431F1" w14:textId="77777777" w:rsidR="00E47100" w:rsidRDefault="00000000">
      <w:pPr>
        <w:spacing w:before="80" w:after="120" w:line="320" w:lineRule="auto"/>
        <w:jc w:val="both"/>
      </w:pPr>
      <w:proofErr w:type="spellStart"/>
      <w:r>
        <w:t>GSTC</w:t>
      </w:r>
      <w:proofErr w:type="spellEnd"/>
      <w:r>
        <w:t xml:space="preserve"> C Bölümü, konaklama tesislerinin konumlandığı kültürel ve tarihi bağlamla derin ve sorumlu bir ilişki kurmasını gerektirmektedir. Fatih'in eşsiz tarihi dokusu, </w:t>
      </w:r>
      <w:proofErr w:type="spellStart"/>
      <w:r>
        <w:t>Green</w:t>
      </w:r>
      <w:proofErr w:type="spellEnd"/>
      <w:r>
        <w:t xml:space="preserve"> </w:t>
      </w:r>
      <w:proofErr w:type="spellStart"/>
      <w:r>
        <w:t>Mansion'ın</w:t>
      </w:r>
      <w:proofErr w:type="spellEnd"/>
      <w:r>
        <w:t xml:space="preserve"> sürdürülebilirlik anlayışının merkezine taşınan bir değerdir.</w:t>
      </w:r>
    </w:p>
    <w:p w14:paraId="04BCCB10" w14:textId="77777777" w:rsidR="00E47100" w:rsidRDefault="00E47100">
      <w:pPr>
        <w:spacing w:after="100"/>
      </w:pPr>
    </w:p>
    <w:p w14:paraId="59C6D67D" w14:textId="77777777" w:rsidR="00E47100" w:rsidRDefault="00000000">
      <w:pPr>
        <w:pStyle w:val="Balk2"/>
      </w:pPr>
      <w:proofErr w:type="spellStart"/>
      <w:r>
        <w:t>C1-C3</w:t>
      </w:r>
      <w:proofErr w:type="spellEnd"/>
      <w:r>
        <w:t xml:space="preserve"> — Kültürel Koruma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5DDFC02D"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C1F63A9"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1B3F139A"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4C7A43C4"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6BDC7841" w14:textId="77777777" w:rsidR="00E47100" w:rsidRDefault="00000000">
            <w:proofErr w:type="spellStart"/>
            <w:r>
              <w:rPr>
                <w:b/>
                <w:bCs/>
                <w:color w:val="1B4332"/>
                <w:sz w:val="18"/>
                <w:szCs w:val="18"/>
              </w:rPr>
              <w:t>C1</w:t>
            </w:r>
            <w:proofErr w:type="spellEnd"/>
            <w:r>
              <w:rPr>
                <w:b/>
                <w:bCs/>
                <w:color w:val="1B4332"/>
                <w:sz w:val="18"/>
                <w:szCs w:val="18"/>
              </w:rPr>
              <w:t xml:space="preserve"> – Tarihi Yapı</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3FE43C3" w14:textId="77777777" w:rsidR="00E47100" w:rsidRDefault="00000000">
            <w:pPr>
              <w:jc w:val="both"/>
            </w:pPr>
            <w:r>
              <w:rPr>
                <w:sz w:val="18"/>
                <w:szCs w:val="18"/>
              </w:rPr>
              <w:t>Tesis binası; Kültür ve Turizm Bakanlığı ile İstanbul Koruma Kurulu yönergelerine uygun olarak restore edilmiştir. Yapının özgün mimari unsurları —taş duvarlar, ahşap tavanlar, geleneksel mozaik detaylar— korunmakta ve sergilenmektedir.</w:t>
            </w:r>
          </w:p>
        </w:tc>
      </w:tr>
      <w:tr w:rsidR="00E47100" w14:paraId="34B4B566"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868B53" w14:textId="77777777" w:rsidR="00E47100" w:rsidRDefault="00000000">
            <w:proofErr w:type="spellStart"/>
            <w:r>
              <w:rPr>
                <w:b/>
                <w:bCs/>
                <w:color w:val="1B4332"/>
                <w:sz w:val="18"/>
                <w:szCs w:val="18"/>
              </w:rPr>
              <w:t>C2</w:t>
            </w:r>
            <w:proofErr w:type="spellEnd"/>
            <w:r>
              <w:rPr>
                <w:b/>
                <w:bCs/>
                <w:color w:val="1B4332"/>
                <w:sz w:val="18"/>
                <w:szCs w:val="18"/>
              </w:rPr>
              <w:t xml:space="preserve"> – Kültürel Deneyimler</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9BAFD2" w14:textId="77777777" w:rsidR="00E47100" w:rsidRDefault="00000000">
            <w:pPr>
              <w:jc w:val="both"/>
            </w:pPr>
            <w:r>
              <w:rPr>
                <w:sz w:val="18"/>
                <w:szCs w:val="18"/>
              </w:rPr>
              <w:t>Konuklara Fatih rehberli yürüyüş programları, geleneksel Türk mutfağı atölyeleri, el sanatları tanıtımları ve yerel tarihçilerle sohbet etkinlikleri sunulmaktadır.</w:t>
            </w:r>
          </w:p>
        </w:tc>
      </w:tr>
      <w:tr w:rsidR="00E47100" w14:paraId="6206EC15"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39FE70B" w14:textId="77777777" w:rsidR="00E47100" w:rsidRDefault="00000000">
            <w:proofErr w:type="spellStart"/>
            <w:r>
              <w:rPr>
                <w:b/>
                <w:bCs/>
                <w:color w:val="1B4332"/>
                <w:sz w:val="18"/>
                <w:szCs w:val="18"/>
              </w:rPr>
              <w:t>C3</w:t>
            </w:r>
            <w:proofErr w:type="spellEnd"/>
            <w:r>
              <w:rPr>
                <w:b/>
                <w:bCs/>
                <w:color w:val="1B4332"/>
                <w:sz w:val="18"/>
                <w:szCs w:val="18"/>
              </w:rPr>
              <w:t xml:space="preserve"> – Kültürel Hassasiyet</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86F546E" w14:textId="77777777" w:rsidR="00E47100" w:rsidRDefault="00000000">
            <w:pPr>
              <w:jc w:val="both"/>
            </w:pPr>
            <w:r>
              <w:rPr>
                <w:sz w:val="18"/>
                <w:szCs w:val="18"/>
              </w:rPr>
              <w:t>Tüm personel, çok kültürlü konuk profiline yönelik kültürel hassasiyet eğitimi almaktadır. Dini ve kültürel günler takvimine uygun olarak tesisteki etkinlik ve dekorasyonlar düzenlenmektedir.</w:t>
            </w:r>
          </w:p>
        </w:tc>
      </w:tr>
      <w:tr w:rsidR="00E47100" w14:paraId="4D717FF8"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E9BBFAA" w14:textId="77777777" w:rsidR="00E47100" w:rsidRDefault="00000000">
            <w:proofErr w:type="spellStart"/>
            <w:r>
              <w:rPr>
                <w:b/>
                <w:bCs/>
                <w:color w:val="1B4332"/>
                <w:sz w:val="18"/>
                <w:szCs w:val="18"/>
              </w:rPr>
              <w:t>C4</w:t>
            </w:r>
            <w:proofErr w:type="spellEnd"/>
            <w:r>
              <w:rPr>
                <w:b/>
                <w:bCs/>
                <w:color w:val="1B4332"/>
                <w:sz w:val="18"/>
                <w:szCs w:val="18"/>
              </w:rPr>
              <w:t xml:space="preserve"> – Entelektüel Mülkiyet</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14B505" w14:textId="77777777" w:rsidR="00E47100" w:rsidRDefault="00000000">
            <w:pPr>
              <w:jc w:val="both"/>
            </w:pPr>
            <w:r>
              <w:rPr>
                <w:sz w:val="18"/>
                <w:szCs w:val="18"/>
              </w:rPr>
              <w:t>Yerel zanaatkâr ve sanatçıların eserleri tesis bünyesinde sergilenmekte; bu kişilerle imzalanan adil ticaret anlaşmalarıyla katkıları resmî biçimde tanınmaktadır.</w:t>
            </w:r>
          </w:p>
        </w:tc>
      </w:tr>
      <w:tr w:rsidR="00E47100" w14:paraId="5969AFC0"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6473060" w14:textId="77777777" w:rsidR="00E47100" w:rsidRDefault="00000000">
            <w:proofErr w:type="spellStart"/>
            <w:r>
              <w:rPr>
                <w:b/>
                <w:bCs/>
                <w:color w:val="1B4332"/>
                <w:sz w:val="18"/>
                <w:szCs w:val="18"/>
              </w:rPr>
              <w:t>C5</w:t>
            </w:r>
            <w:proofErr w:type="spellEnd"/>
            <w:r>
              <w:rPr>
                <w:b/>
                <w:bCs/>
                <w:color w:val="1B4332"/>
                <w:sz w:val="18"/>
                <w:szCs w:val="18"/>
              </w:rPr>
              <w:t xml:space="preserve"> – Ziyaret Yönetimi</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4417A033" w14:textId="77777777" w:rsidR="00E47100" w:rsidRDefault="00000000">
            <w:pPr>
              <w:jc w:val="both"/>
            </w:pPr>
            <w:r>
              <w:rPr>
                <w:sz w:val="18"/>
                <w:szCs w:val="18"/>
              </w:rPr>
              <w:t>Tarihi mekânlara yönelik ziyaretçi yoğunluğu azaltma stratejileri desteklenmektedir. Konuklara yüksek sezonda alternatif güzergâh ve zaman dilimleri önererek aşırı turizm baskısı hafifletilmektedir.</w:t>
            </w:r>
          </w:p>
        </w:tc>
      </w:tr>
    </w:tbl>
    <w:p w14:paraId="46882FD1" w14:textId="77777777" w:rsidR="00E47100" w:rsidRDefault="00E47100">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6AC9990B" w14:textId="77777777">
        <w:tblPrEx>
          <w:tblCellMar>
            <w:top w:w="0" w:type="dxa"/>
            <w:bottom w:w="0" w:type="dxa"/>
          </w:tblCellMar>
        </w:tblPrEx>
        <w:tc>
          <w:tcPr>
            <w:tcW w:w="0" w:type="auto"/>
            <w:tcBorders>
              <w:top w:val="single" w:sz="1" w:space="0" w:color="B5893A"/>
              <w:left w:val="single" w:sz="1" w:space="0" w:color="B5893A"/>
              <w:bottom w:val="single" w:sz="1" w:space="0" w:color="B5893A"/>
              <w:right w:val="single" w:sz="1" w:space="0" w:color="B5893A"/>
            </w:tcBorders>
            <w:shd w:val="clear" w:color="auto" w:fill="FDF6EC"/>
            <w:tcMar>
              <w:top w:w="160" w:type="dxa"/>
              <w:left w:w="200" w:type="dxa"/>
              <w:bottom w:w="160" w:type="dxa"/>
              <w:right w:w="200" w:type="dxa"/>
            </w:tcMar>
          </w:tcPr>
          <w:p w14:paraId="719F414F" w14:textId="77777777" w:rsidR="00E47100" w:rsidRDefault="00000000">
            <w:pPr>
              <w:spacing w:after="80"/>
            </w:pPr>
            <w:r>
              <w:rPr>
                <w:b/>
                <w:bCs/>
                <w:color w:val="B5893A"/>
              </w:rPr>
              <w:t>Fatih'e Saygı İlkemiz</w:t>
            </w:r>
          </w:p>
          <w:p w14:paraId="0599727B" w14:textId="77777777" w:rsidR="00E47100" w:rsidRDefault="00000000">
            <w:pPr>
              <w:jc w:val="both"/>
            </w:pPr>
            <w:proofErr w:type="spellStart"/>
            <w:r>
              <w:t>Green</w:t>
            </w:r>
            <w:proofErr w:type="spellEnd"/>
            <w:r>
              <w:t xml:space="preserve"> </w:t>
            </w:r>
            <w:proofErr w:type="spellStart"/>
            <w:r>
              <w:t>Mansion</w:t>
            </w:r>
            <w:proofErr w:type="spellEnd"/>
            <w:r>
              <w:t>, konum seçiminden iç tasarıma, rehberli tur partnerliğinden yerel tedarik anlayışına kadar her uygulamasında Fatih'in yaşayan kültürel mirasına derin bir saygı besler. Turizm, tarihin üzerine inşa edilir; bizim sorumluluğumuz ise onu yaşatmaktır.</w:t>
            </w:r>
          </w:p>
        </w:tc>
      </w:tr>
    </w:tbl>
    <w:p w14:paraId="53013C52" w14:textId="77777777" w:rsidR="00E47100" w:rsidRDefault="00E47100">
      <w:pPr>
        <w:spacing w:after="200"/>
      </w:pPr>
    </w:p>
    <w:p w14:paraId="71740342" w14:textId="77777777" w:rsidR="00E47100" w:rsidRDefault="00000000">
      <w:pPr>
        <w:pStyle w:val="Balk1"/>
        <w:pBdr>
          <w:bottom w:val="single" w:sz="8" w:space="4" w:color="52B788"/>
        </w:pBdr>
      </w:pPr>
      <w:r>
        <w:t>SOSYAL VE EKONOMİK SÜRDÜRÜLEBİLİRLİK</w:t>
      </w:r>
    </w:p>
    <w:p w14:paraId="0AADE348" w14:textId="77777777" w:rsidR="00E47100" w:rsidRDefault="00E47100">
      <w:pPr>
        <w:spacing w:after="100"/>
      </w:pPr>
    </w:p>
    <w:p w14:paraId="4BF4EEA3" w14:textId="77777777" w:rsidR="00E47100" w:rsidRDefault="00000000">
      <w:pPr>
        <w:spacing w:before="80" w:after="120" w:line="320" w:lineRule="auto"/>
        <w:jc w:val="both"/>
      </w:pPr>
      <w:proofErr w:type="spellStart"/>
      <w:r>
        <w:t>GSTC</w:t>
      </w:r>
      <w:proofErr w:type="spellEnd"/>
      <w:r>
        <w:t xml:space="preserve"> D Bölümü; yerel topluluğun refahına katkı, adil istihdam, insan hakları ve turizmin yerel ekonomik kaydına odaklanır. </w:t>
      </w:r>
      <w:proofErr w:type="spellStart"/>
      <w:r>
        <w:t>Green</w:t>
      </w:r>
      <w:proofErr w:type="spellEnd"/>
      <w:r>
        <w:t xml:space="preserve"> </w:t>
      </w:r>
      <w:proofErr w:type="spellStart"/>
      <w:r>
        <w:t>Mansion</w:t>
      </w:r>
      <w:proofErr w:type="spellEnd"/>
      <w:r>
        <w:t>, Fatih topluluğuyla salt bir kiracı değil, gerçek bir ortak ilişkisi içinde olmayı hedeflemektedir.</w:t>
      </w:r>
    </w:p>
    <w:p w14:paraId="0E73C6DF" w14:textId="77777777" w:rsidR="00E47100" w:rsidRDefault="00E47100">
      <w:pPr>
        <w:spacing w:after="100"/>
      </w:pPr>
    </w:p>
    <w:p w14:paraId="0AA122D2" w14:textId="77777777" w:rsidR="00E47100" w:rsidRDefault="00000000">
      <w:pPr>
        <w:pStyle w:val="Balk2"/>
      </w:pPr>
      <w:proofErr w:type="spellStart"/>
      <w:r>
        <w:t>D1-D4</w:t>
      </w:r>
      <w:proofErr w:type="spellEnd"/>
      <w:r>
        <w:t xml:space="preserve"> — Toplum Katılımı ve Ekonomik Katkı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5AF07E77"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62C1828B" w14:textId="77777777" w:rsidR="00E47100" w:rsidRDefault="00000000">
            <w:proofErr w:type="spellStart"/>
            <w:r>
              <w:rPr>
                <w:b/>
                <w:bCs/>
                <w:color w:val="FFFFFF"/>
                <w:sz w:val="18"/>
                <w:szCs w:val="18"/>
              </w:rPr>
              <w:lastRenderedPageBreak/>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4B9E770"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6ECB7E7A"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7307FB5" w14:textId="77777777" w:rsidR="00E47100" w:rsidRDefault="00000000">
            <w:proofErr w:type="spellStart"/>
            <w:r>
              <w:rPr>
                <w:b/>
                <w:bCs/>
                <w:color w:val="1B4332"/>
                <w:sz w:val="18"/>
                <w:szCs w:val="18"/>
              </w:rPr>
              <w:t>D1</w:t>
            </w:r>
            <w:proofErr w:type="spellEnd"/>
            <w:r>
              <w:rPr>
                <w:b/>
                <w:bCs/>
                <w:color w:val="1B4332"/>
                <w:sz w:val="18"/>
                <w:szCs w:val="18"/>
              </w:rPr>
              <w:t xml:space="preserve"> – Yerel İstihdam</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AA032D8" w14:textId="77777777" w:rsidR="00E47100" w:rsidRDefault="00000000">
            <w:pPr>
              <w:jc w:val="both"/>
            </w:pPr>
            <w:r>
              <w:rPr>
                <w:sz w:val="18"/>
                <w:szCs w:val="18"/>
              </w:rPr>
              <w:t>Çalışanların büyük çoğunluğu Fatih ve çevre ilçelerden işe alınmaktadır. Yerel genç istihdamına yönelik staj programları aktif olarak yürütülmektedir.</w:t>
            </w:r>
          </w:p>
        </w:tc>
      </w:tr>
      <w:tr w:rsidR="00E47100" w14:paraId="666FF525"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C011D3" w14:textId="77777777" w:rsidR="00E47100" w:rsidRDefault="00000000">
            <w:proofErr w:type="spellStart"/>
            <w:r>
              <w:rPr>
                <w:b/>
                <w:bCs/>
                <w:color w:val="1B4332"/>
                <w:sz w:val="18"/>
                <w:szCs w:val="18"/>
              </w:rPr>
              <w:t>D2</w:t>
            </w:r>
            <w:proofErr w:type="spellEnd"/>
            <w:r>
              <w:rPr>
                <w:b/>
                <w:bCs/>
                <w:color w:val="1B4332"/>
                <w:sz w:val="18"/>
                <w:szCs w:val="18"/>
              </w:rPr>
              <w:t xml:space="preserve"> – Yerel Tedarik</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7876BC" w14:textId="77777777" w:rsidR="00E47100" w:rsidRDefault="00000000">
            <w:pPr>
              <w:jc w:val="both"/>
            </w:pPr>
            <w:r>
              <w:rPr>
                <w:sz w:val="18"/>
                <w:szCs w:val="18"/>
              </w:rPr>
              <w:t>Gıda, temizlik malzemeleri, tekstil ve dekoratif ürünlerde İstanbul'daki küçük ölçekli ve el işi üreticilere öncelik tanınmaktadır. Kapalıçarşı ve Mısır Çarşısı esnafıyla doğrudan tedarik anlaşmaları sürdürülmektedir.</w:t>
            </w:r>
          </w:p>
        </w:tc>
      </w:tr>
      <w:tr w:rsidR="00E47100" w14:paraId="5A1C264F"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01C6707" w14:textId="77777777" w:rsidR="00E47100" w:rsidRDefault="00000000">
            <w:proofErr w:type="spellStart"/>
            <w:r>
              <w:rPr>
                <w:b/>
                <w:bCs/>
                <w:color w:val="1B4332"/>
                <w:sz w:val="18"/>
                <w:szCs w:val="18"/>
              </w:rPr>
              <w:t>D3</w:t>
            </w:r>
            <w:proofErr w:type="spellEnd"/>
            <w:r>
              <w:rPr>
                <w:b/>
                <w:bCs/>
                <w:color w:val="1B4332"/>
                <w:sz w:val="18"/>
                <w:szCs w:val="18"/>
              </w:rPr>
              <w:t xml:space="preserve"> – Adil Gelir</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CA9688A" w14:textId="77777777" w:rsidR="00E47100" w:rsidRDefault="00000000">
            <w:pPr>
              <w:jc w:val="both"/>
            </w:pPr>
            <w:r>
              <w:rPr>
                <w:sz w:val="18"/>
                <w:szCs w:val="18"/>
              </w:rPr>
              <w:t>Rehber, tercüman ve esnaf gibi yerel paydaşlarla yapılan anlaşmalarda piyasa fiyatının üzerinde adil ödeme standartları benimsenmektedir.</w:t>
            </w:r>
          </w:p>
        </w:tc>
      </w:tr>
      <w:tr w:rsidR="00E47100" w14:paraId="23B222BA"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F69D0A" w14:textId="77777777" w:rsidR="00E47100" w:rsidRDefault="00000000">
            <w:proofErr w:type="spellStart"/>
            <w:r>
              <w:rPr>
                <w:b/>
                <w:bCs/>
                <w:color w:val="1B4332"/>
                <w:sz w:val="18"/>
                <w:szCs w:val="18"/>
              </w:rPr>
              <w:t>D4</w:t>
            </w:r>
            <w:proofErr w:type="spellEnd"/>
            <w:r>
              <w:rPr>
                <w:b/>
                <w:bCs/>
                <w:color w:val="1B4332"/>
                <w:sz w:val="18"/>
                <w:szCs w:val="18"/>
              </w:rPr>
              <w:t xml:space="preserve"> – Toplum Refahı</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F3312C" w14:textId="77777777" w:rsidR="00E47100" w:rsidRDefault="00000000">
            <w:pPr>
              <w:jc w:val="both"/>
            </w:pPr>
            <w:r>
              <w:rPr>
                <w:sz w:val="18"/>
                <w:szCs w:val="18"/>
              </w:rPr>
              <w:t>Bölgedeki okullara ve sivil toplum kuruluşlarına eğitim malzemeleri bağışı yapılmakta; tarihi mekânların onarımı için gönüllü katkı faaliyetleri düzenlenmektedir.</w:t>
            </w:r>
          </w:p>
        </w:tc>
      </w:tr>
    </w:tbl>
    <w:p w14:paraId="03EB06D3" w14:textId="77777777" w:rsidR="00E47100" w:rsidRDefault="00E47100">
      <w:pPr>
        <w:spacing w:after="200"/>
      </w:pPr>
    </w:p>
    <w:p w14:paraId="6A718A8A" w14:textId="77777777" w:rsidR="00E47100" w:rsidRDefault="00000000">
      <w:pPr>
        <w:pStyle w:val="Balk2"/>
      </w:pPr>
      <w:proofErr w:type="spellStart"/>
      <w:r>
        <w:t>D5-D8</w:t>
      </w:r>
      <w:proofErr w:type="spellEnd"/>
      <w:r>
        <w:t xml:space="preserve"> — İnsan Hakları ve Çalışma Koşulları</w:t>
      </w:r>
    </w:p>
    <w:p w14:paraId="20DCD1B0" w14:textId="77777777" w:rsidR="00E47100" w:rsidRDefault="00000000">
      <w:pPr>
        <w:spacing w:before="80" w:after="120" w:line="320" w:lineRule="auto"/>
        <w:jc w:val="both"/>
      </w:pPr>
      <w:proofErr w:type="spellStart"/>
      <w:r>
        <w:t>Green</w:t>
      </w:r>
      <w:proofErr w:type="spellEnd"/>
      <w:r>
        <w:t xml:space="preserve"> </w:t>
      </w:r>
      <w:proofErr w:type="spellStart"/>
      <w:r>
        <w:t>Mansion</w:t>
      </w:r>
      <w:proofErr w:type="spellEnd"/>
      <w:r>
        <w:t>, işyerinde ayrımcılığa karşı sıfır tolerans ilkesini benimser ve çalışanlarına ILO standartlarıyla uyumlu koşullarda istihdam imkânı sunar.</w:t>
      </w:r>
    </w:p>
    <w:p w14:paraId="52650296"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097C238E"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0821106F"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778020ED"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56B860F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A6CB102" w14:textId="77777777" w:rsidR="00E47100" w:rsidRDefault="00000000">
            <w:proofErr w:type="spellStart"/>
            <w:r>
              <w:rPr>
                <w:b/>
                <w:bCs/>
                <w:color w:val="1B4332"/>
                <w:sz w:val="18"/>
                <w:szCs w:val="18"/>
              </w:rPr>
              <w:t>D5</w:t>
            </w:r>
            <w:proofErr w:type="spellEnd"/>
            <w:r>
              <w:rPr>
                <w:b/>
                <w:bCs/>
                <w:color w:val="1B4332"/>
                <w:sz w:val="18"/>
                <w:szCs w:val="18"/>
              </w:rPr>
              <w:t xml:space="preserve"> – Çocuk İstihdamı</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36CFA34C" w14:textId="77777777" w:rsidR="00E47100" w:rsidRDefault="00000000">
            <w:pPr>
              <w:jc w:val="both"/>
            </w:pPr>
            <w:r>
              <w:rPr>
                <w:sz w:val="18"/>
                <w:szCs w:val="18"/>
              </w:rPr>
              <w:t>Çocuk işçi çalıştırılmamakta; tedarikçi seçiminde de bu kıstas uygulanmaktadır. Tüm tedarikçilerden ilgili uyum belgesi talep edilmektedir.</w:t>
            </w:r>
          </w:p>
        </w:tc>
      </w:tr>
      <w:tr w:rsidR="00E47100" w14:paraId="2808E534"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6CD312" w14:textId="77777777" w:rsidR="00E47100" w:rsidRDefault="00000000">
            <w:proofErr w:type="spellStart"/>
            <w:r>
              <w:rPr>
                <w:b/>
                <w:bCs/>
                <w:color w:val="1B4332"/>
                <w:sz w:val="18"/>
                <w:szCs w:val="18"/>
              </w:rPr>
              <w:t>D6</w:t>
            </w:r>
            <w:proofErr w:type="spellEnd"/>
            <w:r>
              <w:rPr>
                <w:b/>
                <w:bCs/>
                <w:color w:val="1B4332"/>
                <w:sz w:val="18"/>
                <w:szCs w:val="18"/>
              </w:rPr>
              <w:t xml:space="preserve"> – İnsan Ticareti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EA5698" w14:textId="77777777" w:rsidR="00E47100" w:rsidRDefault="00000000">
            <w:pPr>
              <w:jc w:val="both"/>
            </w:pPr>
            <w:r>
              <w:rPr>
                <w:sz w:val="18"/>
                <w:szCs w:val="18"/>
              </w:rPr>
              <w:t>Çalışanlar insan ticaretini tanıma ve raporlama konusunda yıllık eğitime tabi tutulmaktadır. Şüpheli durumlara yönelik gizli raporlama hattı mevcuttur.</w:t>
            </w:r>
          </w:p>
        </w:tc>
      </w:tr>
      <w:tr w:rsidR="00E47100" w14:paraId="286BFF99"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784DC983" w14:textId="77777777" w:rsidR="00E47100" w:rsidRDefault="00000000">
            <w:proofErr w:type="spellStart"/>
            <w:r>
              <w:rPr>
                <w:b/>
                <w:bCs/>
                <w:color w:val="1B4332"/>
                <w:sz w:val="18"/>
                <w:szCs w:val="18"/>
              </w:rPr>
              <w:t>D7</w:t>
            </w:r>
            <w:proofErr w:type="spellEnd"/>
            <w:r>
              <w:rPr>
                <w:b/>
                <w:bCs/>
                <w:color w:val="1B4332"/>
                <w:sz w:val="18"/>
                <w:szCs w:val="18"/>
              </w:rPr>
              <w:t xml:space="preserve"> – Adil Muamele</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B38ADAF" w14:textId="77777777" w:rsidR="00E47100" w:rsidRDefault="00000000">
            <w:pPr>
              <w:jc w:val="both"/>
            </w:pPr>
            <w:r>
              <w:rPr>
                <w:sz w:val="18"/>
                <w:szCs w:val="18"/>
              </w:rPr>
              <w:t>Tüm çalışanlar mesai, sosyal sigorta, izin hakları ve ücret bakımından yasal güvenceler kapsamındadır. Çalışan memnuniyeti anketi yılda iki kez uygulanmaktadır.</w:t>
            </w:r>
          </w:p>
        </w:tc>
      </w:tr>
      <w:tr w:rsidR="00E47100" w14:paraId="10A9DD95"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394F12" w14:textId="77777777" w:rsidR="00E47100" w:rsidRDefault="00000000">
            <w:proofErr w:type="spellStart"/>
            <w:r>
              <w:rPr>
                <w:b/>
                <w:bCs/>
                <w:color w:val="1B4332"/>
                <w:sz w:val="18"/>
                <w:szCs w:val="18"/>
              </w:rPr>
              <w:t>D8</w:t>
            </w:r>
            <w:proofErr w:type="spellEnd"/>
            <w:r>
              <w:rPr>
                <w:b/>
                <w:bCs/>
                <w:color w:val="1B4332"/>
                <w:sz w:val="18"/>
                <w:szCs w:val="18"/>
              </w:rPr>
              <w:t xml:space="preserve"> – Erişilebilirlik</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9B521B" w14:textId="77777777" w:rsidR="00E47100" w:rsidRDefault="00000000">
            <w:pPr>
              <w:jc w:val="both"/>
            </w:pPr>
            <w:r>
              <w:rPr>
                <w:sz w:val="18"/>
                <w:szCs w:val="18"/>
              </w:rPr>
              <w:t>Fiziksel erişilebilirlik iyileştirmeleri tarihi yapı koşullarında azami ölçüde gerçekleştirilmektedir. İşaret dili yeterliliğine sahip personel istihdamı planlanmaktadır.</w:t>
            </w:r>
          </w:p>
        </w:tc>
      </w:tr>
    </w:tbl>
    <w:p w14:paraId="5FA655B3" w14:textId="77777777" w:rsidR="00E47100" w:rsidRDefault="00E47100">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376C346B" w14:textId="77777777">
        <w:tblPrEx>
          <w:tblCellMar>
            <w:top w:w="0" w:type="dxa"/>
            <w:bottom w:w="0" w:type="dxa"/>
          </w:tblCellMar>
        </w:tblPrEx>
        <w:tc>
          <w:tcPr>
            <w:tcW w:w="0" w:type="auto"/>
            <w:tcBorders>
              <w:top w:val="single" w:sz="1" w:space="0" w:color="2D6A4F"/>
              <w:left w:val="single" w:sz="1" w:space="0" w:color="2D6A4F"/>
              <w:bottom w:val="single" w:sz="1" w:space="0" w:color="2D6A4F"/>
              <w:right w:val="single" w:sz="1" w:space="0" w:color="2D6A4F"/>
            </w:tcBorders>
            <w:shd w:val="clear" w:color="auto" w:fill="D8F3DC"/>
            <w:tcMar>
              <w:top w:w="160" w:type="dxa"/>
              <w:left w:w="200" w:type="dxa"/>
              <w:bottom w:w="160" w:type="dxa"/>
              <w:right w:w="200" w:type="dxa"/>
            </w:tcMar>
          </w:tcPr>
          <w:p w14:paraId="0B329331" w14:textId="77777777" w:rsidR="00E47100" w:rsidRDefault="00000000">
            <w:pPr>
              <w:spacing w:after="80"/>
            </w:pPr>
            <w:r>
              <w:rPr>
                <w:b/>
                <w:bCs/>
                <w:color w:val="1B4332"/>
              </w:rPr>
              <w:t>Toplumla Ortaklık Programı</w:t>
            </w:r>
          </w:p>
          <w:p w14:paraId="2E456624" w14:textId="77777777" w:rsidR="00E47100" w:rsidRDefault="00000000">
            <w:pPr>
              <w:jc w:val="both"/>
            </w:pPr>
            <w:r>
              <w:t>Her sezon en az bir adet yerel eğitim, kültür veya çevre alanında sivil toplum kuruluşuyla ortaklık kurulmaktadır. 'Fatih'i Keşfet' programı kapsamında, dezavantajlı ailelerin çocuklarına ücretsiz kültürel tur imkânı sunulmaktadır.</w:t>
            </w:r>
          </w:p>
        </w:tc>
      </w:tr>
    </w:tbl>
    <w:p w14:paraId="4D23AF55" w14:textId="77777777" w:rsidR="00E47100" w:rsidRDefault="00E47100">
      <w:pPr>
        <w:spacing w:after="200"/>
      </w:pPr>
    </w:p>
    <w:p w14:paraId="6D0A2E23" w14:textId="77777777" w:rsidR="00E47100" w:rsidRDefault="00000000">
      <w:pPr>
        <w:pStyle w:val="Balk1"/>
        <w:pBdr>
          <w:bottom w:val="single" w:sz="8" w:space="4" w:color="52B788"/>
        </w:pBdr>
      </w:pPr>
      <w:r>
        <w:t>KONUK DENEYİMİ VE SÜRDÜRÜLEBİLİR TURİZM BİLİNÇLENDİRME</w:t>
      </w:r>
    </w:p>
    <w:p w14:paraId="3A98E1E3" w14:textId="77777777" w:rsidR="00E47100" w:rsidRDefault="00E47100">
      <w:pPr>
        <w:spacing w:after="100"/>
      </w:pPr>
    </w:p>
    <w:p w14:paraId="161E8DF8" w14:textId="77777777" w:rsidR="00E47100" w:rsidRDefault="00000000">
      <w:pPr>
        <w:spacing w:before="80" w:after="120" w:line="320" w:lineRule="auto"/>
        <w:jc w:val="both"/>
      </w:pPr>
      <w:r>
        <w:t xml:space="preserve">Sürdürülebilir turizm; yalnızca tesislerin değil, konukların da bilinçli tercihleriyle mümkündür. </w:t>
      </w:r>
      <w:proofErr w:type="spellStart"/>
      <w:r>
        <w:t>Green</w:t>
      </w:r>
      <w:proofErr w:type="spellEnd"/>
      <w:r>
        <w:t xml:space="preserve"> </w:t>
      </w:r>
      <w:proofErr w:type="spellStart"/>
      <w:r>
        <w:t>Mansion</w:t>
      </w:r>
      <w:proofErr w:type="spellEnd"/>
      <w:r>
        <w:t>, her konuğun sürdürülebilirlik yolculuğunun bir parçası olmasını teşvik eden deneyimler tasarlamaktadır.</w:t>
      </w:r>
    </w:p>
    <w:p w14:paraId="2D392807" w14:textId="77777777" w:rsidR="00E47100" w:rsidRDefault="00E47100">
      <w:pPr>
        <w:spacing w:after="100"/>
      </w:pPr>
    </w:p>
    <w:p w14:paraId="04C17295" w14:textId="77777777" w:rsidR="00E47100" w:rsidRDefault="00000000">
      <w:pPr>
        <w:pStyle w:val="Balk2"/>
      </w:pPr>
      <w:r>
        <w:t>Konuk İletişimi</w:t>
      </w:r>
    </w:p>
    <w:p w14:paraId="0C557009" w14:textId="77777777" w:rsidR="00E47100" w:rsidRDefault="00000000">
      <w:pPr>
        <w:pStyle w:val="ListeParagraf"/>
        <w:numPr>
          <w:ilvl w:val="0"/>
          <w:numId w:val="2"/>
        </w:numPr>
        <w:spacing w:before="60" w:after="60" w:line="300" w:lineRule="auto"/>
      </w:pPr>
      <w:proofErr w:type="spellStart"/>
      <w:r>
        <w:t>Check</w:t>
      </w:r>
      <w:proofErr w:type="spellEnd"/>
      <w:r>
        <w:t>-in sırasında sürdürülebilirlik brifingi verilmektedir.</w:t>
      </w:r>
    </w:p>
    <w:p w14:paraId="44B7BBB2" w14:textId="77777777" w:rsidR="00E47100" w:rsidRDefault="00000000">
      <w:pPr>
        <w:pStyle w:val="ListeParagraf"/>
        <w:numPr>
          <w:ilvl w:val="0"/>
          <w:numId w:val="2"/>
        </w:numPr>
        <w:spacing w:before="60" w:after="60" w:line="300" w:lineRule="auto"/>
      </w:pPr>
      <w:r>
        <w:lastRenderedPageBreak/>
        <w:t>Oda içi rehber; çevre dostu davranışlar, yerel etik alışveriş noktaları ve tarihi mekânları ziyaret adabı hakkında bilgi içermektedir.</w:t>
      </w:r>
    </w:p>
    <w:p w14:paraId="57A87EDE" w14:textId="77777777" w:rsidR="00E47100" w:rsidRDefault="00000000">
      <w:pPr>
        <w:pStyle w:val="ListeParagraf"/>
        <w:numPr>
          <w:ilvl w:val="0"/>
          <w:numId w:val="2"/>
        </w:numPr>
        <w:spacing w:before="60" w:after="60" w:line="300" w:lineRule="auto"/>
      </w:pPr>
      <w:proofErr w:type="spellStart"/>
      <w:r>
        <w:t>QR</w:t>
      </w:r>
      <w:proofErr w:type="spellEnd"/>
      <w:r>
        <w:t xml:space="preserve"> kod sistemi ile dijital sürdürülebilirlik rehberi sunulmaktadır.</w:t>
      </w:r>
    </w:p>
    <w:p w14:paraId="7617F75E" w14:textId="77777777" w:rsidR="00E47100" w:rsidRDefault="00000000">
      <w:pPr>
        <w:pStyle w:val="ListeParagraf"/>
        <w:numPr>
          <w:ilvl w:val="0"/>
          <w:numId w:val="2"/>
        </w:numPr>
        <w:spacing w:before="60" w:after="60" w:line="300" w:lineRule="auto"/>
      </w:pPr>
      <w:r>
        <w:t>Konuklar havlu/çarşaf değişimini sadece ihtiyaç hissettiklerinde talep etmeye teşvik edilmektedir.</w:t>
      </w:r>
    </w:p>
    <w:p w14:paraId="1079C07F" w14:textId="77777777" w:rsidR="00E47100" w:rsidRDefault="00E47100">
      <w:pPr>
        <w:spacing w:after="100"/>
      </w:pPr>
    </w:p>
    <w:p w14:paraId="29DA7878" w14:textId="77777777" w:rsidR="00E47100" w:rsidRDefault="00000000">
      <w:pPr>
        <w:pStyle w:val="Balk2"/>
      </w:pPr>
      <w:r>
        <w:t>Deneyim Programları</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0BE62527"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D4C4D24"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333824BD"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69C2241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72C0F61" w14:textId="77777777" w:rsidR="00E47100" w:rsidRDefault="00000000">
            <w:r>
              <w:rPr>
                <w:b/>
                <w:bCs/>
                <w:color w:val="1B4332"/>
                <w:sz w:val="18"/>
                <w:szCs w:val="18"/>
              </w:rPr>
              <w:t>Kültürel Tur</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056B749" w14:textId="77777777" w:rsidR="00E47100" w:rsidRDefault="00000000">
            <w:pPr>
              <w:jc w:val="both"/>
            </w:pPr>
            <w:r>
              <w:rPr>
                <w:sz w:val="18"/>
                <w:szCs w:val="18"/>
              </w:rPr>
              <w:t>Sertifikalı yerel rehber eşliğinde Fatih'in Osmanlı ve Bizans katmanlarını keşfeden yürüyüş turları.</w:t>
            </w:r>
          </w:p>
        </w:tc>
      </w:tr>
      <w:tr w:rsidR="00E47100" w14:paraId="6FA15C5E"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EF6583" w14:textId="77777777" w:rsidR="00E47100" w:rsidRDefault="00000000">
            <w:r>
              <w:rPr>
                <w:b/>
                <w:bCs/>
                <w:color w:val="1B4332"/>
                <w:sz w:val="18"/>
                <w:szCs w:val="18"/>
              </w:rPr>
              <w:t>Mutfak Atölyesi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61646A8" w14:textId="77777777" w:rsidR="00E47100" w:rsidRDefault="00000000">
            <w:pPr>
              <w:jc w:val="both"/>
            </w:pPr>
            <w:r>
              <w:rPr>
                <w:sz w:val="18"/>
                <w:szCs w:val="18"/>
              </w:rPr>
              <w:t>Kapalıçarşı'dan taze temin edilen malzemelerle geleneksel Türk yemekleri pişirme atölyeleri.</w:t>
            </w:r>
          </w:p>
        </w:tc>
      </w:tr>
      <w:tr w:rsidR="00E47100" w14:paraId="38F82986"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C616AFA" w14:textId="77777777" w:rsidR="00E47100" w:rsidRDefault="00000000">
            <w:r>
              <w:rPr>
                <w:b/>
                <w:bCs/>
                <w:color w:val="1B4332"/>
                <w:sz w:val="18"/>
                <w:szCs w:val="18"/>
              </w:rPr>
              <w:t>El Sanatları</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6051B0CA" w14:textId="77777777" w:rsidR="00E47100" w:rsidRDefault="00000000">
            <w:pPr>
              <w:jc w:val="both"/>
            </w:pPr>
            <w:r>
              <w:rPr>
                <w:sz w:val="18"/>
                <w:szCs w:val="18"/>
              </w:rPr>
              <w:t>Çini, ebru ve geleneksel Osmanlı müzik aletleri üzerine yerel ustalarla gerçekleştirilen kısa kurslar.</w:t>
            </w:r>
          </w:p>
        </w:tc>
      </w:tr>
      <w:tr w:rsidR="00E47100" w14:paraId="7C8706E2"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5DC1FD" w14:textId="77777777" w:rsidR="00E47100" w:rsidRDefault="00000000">
            <w:r>
              <w:rPr>
                <w:b/>
                <w:bCs/>
                <w:color w:val="1B4332"/>
                <w:sz w:val="18"/>
                <w:szCs w:val="18"/>
              </w:rPr>
              <w:t>Mahalle Keşfi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E7C540" w14:textId="77777777" w:rsidR="00E47100" w:rsidRDefault="00000000">
            <w:pPr>
              <w:jc w:val="both"/>
            </w:pPr>
            <w:r>
              <w:rPr>
                <w:sz w:val="18"/>
                <w:szCs w:val="18"/>
              </w:rPr>
              <w:t>Turistik rota dışında kalan otantik Fatih mahallelerini tanıtan yavaş seyahat deneyimleri.</w:t>
            </w:r>
          </w:p>
        </w:tc>
      </w:tr>
    </w:tbl>
    <w:p w14:paraId="631FF5C0" w14:textId="77777777" w:rsidR="00E47100" w:rsidRDefault="00E47100">
      <w:pPr>
        <w:spacing w:after="200"/>
      </w:pPr>
    </w:p>
    <w:p w14:paraId="5C23A4EF" w14:textId="77777777" w:rsidR="00E47100" w:rsidRDefault="00000000">
      <w:pPr>
        <w:pStyle w:val="Balk1"/>
        <w:pBdr>
          <w:bottom w:val="single" w:sz="8" w:space="4" w:color="52B788"/>
        </w:pBdr>
      </w:pPr>
      <w:r>
        <w:t>İKLİM DEĞİŞİKLİĞİ VE DAYANIKLILIK</w:t>
      </w:r>
    </w:p>
    <w:p w14:paraId="5E7B4B06" w14:textId="77777777" w:rsidR="00E47100" w:rsidRDefault="00E47100">
      <w:pPr>
        <w:spacing w:after="100"/>
      </w:pPr>
    </w:p>
    <w:p w14:paraId="3AFA1C17" w14:textId="77777777" w:rsidR="00E47100" w:rsidRDefault="00000000">
      <w:pPr>
        <w:spacing w:before="80" w:after="120" w:line="320" w:lineRule="auto"/>
        <w:jc w:val="both"/>
      </w:pPr>
      <w:r>
        <w:t xml:space="preserve">Turizm sektörü hem iklim değişikliğinin önemli bir kaynağı hem de bu değişiklikten doğrudan etkilenen bir alan olarak çift yönlü bir ilişki içindedir. </w:t>
      </w:r>
      <w:proofErr w:type="spellStart"/>
      <w:r>
        <w:t>Green</w:t>
      </w:r>
      <w:proofErr w:type="spellEnd"/>
      <w:r>
        <w:t xml:space="preserve"> </w:t>
      </w:r>
      <w:proofErr w:type="spellStart"/>
      <w:r>
        <w:t>Mansion</w:t>
      </w:r>
      <w:proofErr w:type="spellEnd"/>
      <w:r>
        <w:t>, iklim eylemini kurumsal öncelikleri arasına almış ve buna uygun uzun vadeli planlama yapmaktadır.</w:t>
      </w:r>
    </w:p>
    <w:p w14:paraId="28148250" w14:textId="77777777" w:rsidR="00E47100" w:rsidRDefault="00E47100">
      <w:pPr>
        <w:spacing w:after="100"/>
      </w:pPr>
    </w:p>
    <w:p w14:paraId="35D7F661" w14:textId="77777777" w:rsidR="00E47100" w:rsidRDefault="00000000">
      <w:pPr>
        <w:pStyle w:val="Balk2"/>
      </w:pPr>
      <w:r>
        <w:t>Karbon Yönetimi</w:t>
      </w:r>
    </w:p>
    <w:p w14:paraId="3913AD5F" w14:textId="77777777" w:rsidR="00E47100" w:rsidRDefault="00000000">
      <w:pPr>
        <w:pStyle w:val="ListeParagraf"/>
        <w:numPr>
          <w:ilvl w:val="0"/>
          <w:numId w:val="2"/>
        </w:numPr>
        <w:spacing w:before="60" w:after="60" w:line="300" w:lineRule="auto"/>
      </w:pPr>
      <w:r>
        <w:t>Tesiste enerji yoğunluklu sistemler için periyodik verimlilik denetimleri gerçekleştirilmektedir.</w:t>
      </w:r>
    </w:p>
    <w:p w14:paraId="42EEEFF3" w14:textId="77777777" w:rsidR="00E47100" w:rsidRDefault="00000000">
      <w:pPr>
        <w:pStyle w:val="ListeParagraf"/>
        <w:numPr>
          <w:ilvl w:val="0"/>
          <w:numId w:val="2"/>
        </w:numPr>
        <w:spacing w:before="60" w:after="60" w:line="300" w:lineRule="auto"/>
      </w:pPr>
      <w:r>
        <w:t>Tedarik zincirinde düşük karbonlu alternatiflere geçiş yol haritası hazırlanmaktadır.</w:t>
      </w:r>
    </w:p>
    <w:p w14:paraId="63782055" w14:textId="77777777" w:rsidR="00E47100" w:rsidRDefault="00000000">
      <w:pPr>
        <w:pStyle w:val="ListeParagraf"/>
        <w:numPr>
          <w:ilvl w:val="0"/>
          <w:numId w:val="2"/>
        </w:numPr>
        <w:spacing w:before="60" w:after="60" w:line="300" w:lineRule="auto"/>
      </w:pPr>
      <w:r>
        <w:t>Konuk ulaşımında toplu taşım kullanımı, bisiklet kiralama noktaları ve araç paylaşımı platformlarına bağlantılar önerilmektedir.</w:t>
      </w:r>
    </w:p>
    <w:p w14:paraId="127D3BAB" w14:textId="77777777" w:rsidR="00E47100" w:rsidRDefault="00000000">
      <w:pPr>
        <w:pStyle w:val="ListeParagraf"/>
        <w:numPr>
          <w:ilvl w:val="0"/>
          <w:numId w:val="2"/>
        </w:numPr>
        <w:spacing w:before="60" w:after="60" w:line="300" w:lineRule="auto"/>
      </w:pPr>
      <w:r>
        <w:t>Uçuş kaynaklı karbon ayak izini dengelemek isteyen konuklara sertifikalı karbon ofset programları hakkında bilgi verilmektedir.</w:t>
      </w:r>
    </w:p>
    <w:p w14:paraId="6966B9FA" w14:textId="77777777" w:rsidR="00E47100" w:rsidRDefault="00E47100">
      <w:pPr>
        <w:spacing w:after="100"/>
      </w:pPr>
    </w:p>
    <w:p w14:paraId="24F9A821" w14:textId="77777777" w:rsidR="00E47100" w:rsidRDefault="00000000">
      <w:pPr>
        <w:pStyle w:val="Balk2"/>
      </w:pPr>
      <w:r>
        <w:t>Dayanıklılık ve Uyum</w:t>
      </w:r>
    </w:p>
    <w:p w14:paraId="18B3BA94" w14:textId="77777777" w:rsidR="00E47100" w:rsidRDefault="00000000">
      <w:pPr>
        <w:spacing w:before="80" w:after="120" w:line="320" w:lineRule="auto"/>
        <w:jc w:val="both"/>
      </w:pPr>
      <w:r>
        <w:t xml:space="preserve">Tarihi bir yapının yöneticileri olarak </w:t>
      </w:r>
      <w:proofErr w:type="spellStart"/>
      <w:r>
        <w:t>Green</w:t>
      </w:r>
      <w:proofErr w:type="spellEnd"/>
      <w:r>
        <w:t xml:space="preserve"> </w:t>
      </w:r>
      <w:proofErr w:type="spellStart"/>
      <w:r>
        <w:t>Mansion</w:t>
      </w:r>
      <w:proofErr w:type="spellEnd"/>
      <w:r>
        <w:t>, aşırı iklim olaylarına ve kentsel ısı adası etkisine karşı hem bina düzeyinde hem de operasyonel düzeyde dayanıklılık önlemleri almaktadır.</w:t>
      </w:r>
    </w:p>
    <w:p w14:paraId="42098945" w14:textId="77777777" w:rsidR="00E47100" w:rsidRDefault="00E47100">
      <w:pPr>
        <w:spacing w:after="100"/>
      </w:pPr>
    </w:p>
    <w:p w14:paraId="02E3FD2D" w14:textId="77777777" w:rsidR="00E47100" w:rsidRDefault="00000000">
      <w:pPr>
        <w:pStyle w:val="ListeParagraf"/>
        <w:numPr>
          <w:ilvl w:val="0"/>
          <w:numId w:val="2"/>
        </w:numPr>
        <w:spacing w:before="60" w:after="60" w:line="300" w:lineRule="auto"/>
      </w:pPr>
      <w:r>
        <w:t>Bina kabuğunun ısı performansı tarihi doku korunarak optimize edilmektedir.</w:t>
      </w:r>
    </w:p>
    <w:p w14:paraId="7F746A68" w14:textId="77777777" w:rsidR="00E47100" w:rsidRDefault="00000000">
      <w:pPr>
        <w:pStyle w:val="ListeParagraf"/>
        <w:numPr>
          <w:ilvl w:val="0"/>
          <w:numId w:val="2"/>
        </w:numPr>
        <w:spacing w:before="60" w:after="60" w:line="300" w:lineRule="auto"/>
      </w:pPr>
      <w:r>
        <w:t>İstanbul Büyükşehir Belediyesi'nin kentsel dayanıklılık projelerine kurumsal destek sağlanmaktadır.</w:t>
      </w:r>
    </w:p>
    <w:p w14:paraId="3023076E" w14:textId="77777777" w:rsidR="00E47100" w:rsidRDefault="00000000">
      <w:pPr>
        <w:pStyle w:val="ListeParagraf"/>
        <w:numPr>
          <w:ilvl w:val="0"/>
          <w:numId w:val="2"/>
        </w:numPr>
        <w:spacing w:before="60" w:after="60" w:line="300" w:lineRule="auto"/>
      </w:pPr>
      <w:r>
        <w:t>Acil durum yönetim planı güncellenerek iklim kaynaklı olayları (aşırı sıcak, sel riski) kapsar hale getirilmiştir.</w:t>
      </w:r>
    </w:p>
    <w:p w14:paraId="4AE0C3BA" w14:textId="77777777" w:rsidR="00E47100" w:rsidRDefault="00E47100">
      <w:pPr>
        <w:spacing w:after="200"/>
      </w:pPr>
    </w:p>
    <w:p w14:paraId="2BC19C53" w14:textId="77777777" w:rsidR="00E47100" w:rsidRDefault="00000000">
      <w:pPr>
        <w:pStyle w:val="Balk1"/>
        <w:pBdr>
          <w:bottom w:val="single" w:sz="8" w:space="4" w:color="52B788"/>
        </w:pBdr>
      </w:pPr>
      <w:r>
        <w:lastRenderedPageBreak/>
        <w:t>TEDARİKÇİ SORUMLULUĞU</w:t>
      </w:r>
    </w:p>
    <w:p w14:paraId="3D96E941" w14:textId="77777777" w:rsidR="00E47100" w:rsidRDefault="00E47100">
      <w:pPr>
        <w:spacing w:after="100"/>
      </w:pPr>
    </w:p>
    <w:p w14:paraId="617F38EE" w14:textId="77777777" w:rsidR="00E47100" w:rsidRDefault="00000000">
      <w:pPr>
        <w:spacing w:before="80" w:after="120" w:line="320" w:lineRule="auto"/>
        <w:jc w:val="both"/>
      </w:pPr>
      <w:r>
        <w:t xml:space="preserve">Sürdürülebilirlik; yalnızca tesis sınırları içinde değil, tedarik zincirinin tamamında anlam kazanır. </w:t>
      </w:r>
      <w:proofErr w:type="spellStart"/>
      <w:r>
        <w:t>Green</w:t>
      </w:r>
      <w:proofErr w:type="spellEnd"/>
      <w:r>
        <w:t xml:space="preserve"> </w:t>
      </w:r>
      <w:proofErr w:type="spellStart"/>
      <w:r>
        <w:t>Mansion</w:t>
      </w:r>
      <w:proofErr w:type="spellEnd"/>
      <w:r>
        <w:t>, tedarikçi seçimini ve yönetimini sürdürülebilirlik politikasının ayrılmaz bir parçası olarak ele almaktadır.</w:t>
      </w:r>
    </w:p>
    <w:p w14:paraId="68B7E5E3"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5B7FCB22"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71FB3717"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4D7D5056"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26737FBE"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0A0B3AA" w14:textId="77777777" w:rsidR="00E47100" w:rsidRDefault="00000000">
            <w:r>
              <w:rPr>
                <w:b/>
                <w:bCs/>
                <w:color w:val="1B4332"/>
                <w:sz w:val="18"/>
                <w:szCs w:val="18"/>
              </w:rPr>
              <w:t>Yerel Öncelik</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40195235" w14:textId="77777777" w:rsidR="00E47100" w:rsidRDefault="00000000">
            <w:pPr>
              <w:jc w:val="both"/>
            </w:pPr>
            <w:r>
              <w:rPr>
                <w:sz w:val="18"/>
                <w:szCs w:val="18"/>
              </w:rPr>
              <w:t>Gıda, ürün ve hizmet alımlarında İstanbul merkezli ve tercihen Fatih'teki küçük işletmelere öncelik verilmektedir.</w:t>
            </w:r>
          </w:p>
        </w:tc>
      </w:tr>
      <w:tr w:rsidR="00E47100" w14:paraId="39BC9B48"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F85040" w14:textId="77777777" w:rsidR="00E47100" w:rsidRDefault="00000000">
            <w:r>
              <w:rPr>
                <w:b/>
                <w:bCs/>
                <w:color w:val="1B4332"/>
                <w:sz w:val="18"/>
                <w:szCs w:val="18"/>
              </w:rPr>
              <w:t>Çevre Kriteri</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2B71E1" w14:textId="77777777" w:rsidR="00E47100" w:rsidRDefault="00000000">
            <w:pPr>
              <w:jc w:val="both"/>
            </w:pPr>
            <w:r>
              <w:rPr>
                <w:sz w:val="18"/>
                <w:szCs w:val="18"/>
              </w:rPr>
              <w:t xml:space="preserve">Tedarikçilerin </w:t>
            </w:r>
            <w:proofErr w:type="spellStart"/>
            <w:r>
              <w:rPr>
                <w:sz w:val="18"/>
                <w:szCs w:val="18"/>
              </w:rPr>
              <w:t>biyobozunur</w:t>
            </w:r>
            <w:proofErr w:type="spellEnd"/>
            <w:r>
              <w:rPr>
                <w:sz w:val="18"/>
                <w:szCs w:val="18"/>
              </w:rPr>
              <w:t>, organik sertifikalı veya geri dönüştürülmüş içerikli ürünler sunması teşvik edilmektedir.</w:t>
            </w:r>
          </w:p>
        </w:tc>
      </w:tr>
      <w:tr w:rsidR="00E47100" w14:paraId="659E2B9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139DEB21" w14:textId="77777777" w:rsidR="00E47100" w:rsidRDefault="00000000">
            <w:r>
              <w:rPr>
                <w:b/>
                <w:bCs/>
                <w:color w:val="1B4332"/>
                <w:sz w:val="18"/>
                <w:szCs w:val="18"/>
              </w:rPr>
              <w:t>Sosyal Sorumluluk</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2C521FE4" w14:textId="77777777" w:rsidR="00E47100" w:rsidRDefault="00000000">
            <w:pPr>
              <w:jc w:val="both"/>
            </w:pPr>
            <w:r>
              <w:rPr>
                <w:sz w:val="18"/>
                <w:szCs w:val="18"/>
              </w:rPr>
              <w:t>Tedarikçilerden çocuk işçi çalıştırmama ve asgari ücret üstü ödeme taahhütnamesi alınmaktadır.</w:t>
            </w:r>
          </w:p>
        </w:tc>
      </w:tr>
      <w:tr w:rsidR="00E47100" w14:paraId="3B69BDE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FA4D49" w14:textId="77777777" w:rsidR="00E47100" w:rsidRDefault="00000000">
            <w:r>
              <w:rPr>
                <w:b/>
                <w:bCs/>
                <w:color w:val="1B4332"/>
                <w:sz w:val="18"/>
                <w:szCs w:val="18"/>
              </w:rPr>
              <w:t>Denetim</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73F423" w14:textId="77777777" w:rsidR="00E47100" w:rsidRDefault="00000000">
            <w:pPr>
              <w:jc w:val="both"/>
            </w:pPr>
            <w:r>
              <w:rPr>
                <w:sz w:val="18"/>
                <w:szCs w:val="18"/>
              </w:rPr>
              <w:t>Stratejik tedarikçiler yılda bir oluşturulan değerlendirme formuyla performans açısından gözden geçirilmektedir.</w:t>
            </w:r>
          </w:p>
        </w:tc>
      </w:tr>
    </w:tbl>
    <w:p w14:paraId="62A722EE" w14:textId="77777777" w:rsidR="00E47100" w:rsidRDefault="00E47100">
      <w:pPr>
        <w:spacing w:after="200"/>
      </w:pPr>
    </w:p>
    <w:p w14:paraId="40F3E066" w14:textId="77777777" w:rsidR="00E47100" w:rsidRDefault="00000000">
      <w:pPr>
        <w:pStyle w:val="Balk1"/>
        <w:pBdr>
          <w:bottom w:val="single" w:sz="8" w:space="4" w:color="52B788"/>
        </w:pBdr>
      </w:pPr>
      <w:proofErr w:type="spellStart"/>
      <w:r>
        <w:t>GSTC</w:t>
      </w:r>
      <w:proofErr w:type="spellEnd"/>
      <w:r>
        <w:t xml:space="preserve"> TAM UYUM KRİTERLERİ — ÖZET TABLOSU</w:t>
      </w:r>
    </w:p>
    <w:p w14:paraId="66F47E05" w14:textId="77777777" w:rsidR="00E47100" w:rsidRDefault="00E47100">
      <w:pPr>
        <w:spacing w:after="100"/>
      </w:pPr>
    </w:p>
    <w:p w14:paraId="4C938545" w14:textId="77777777" w:rsidR="00E47100" w:rsidRDefault="00000000">
      <w:pPr>
        <w:spacing w:before="80" w:after="120" w:line="320" w:lineRule="auto"/>
        <w:jc w:val="both"/>
      </w:pPr>
      <w:r>
        <w:t xml:space="preserve">Aşağıdaki tablo, </w:t>
      </w:r>
      <w:proofErr w:type="spellStart"/>
      <w:r>
        <w:t>GSTC</w:t>
      </w:r>
      <w:proofErr w:type="spellEnd"/>
      <w:r>
        <w:t xml:space="preserve"> Otel ve Konaklama Kriterleri'nin A, B, C ve D kategorileri kapsamındaki temel kriterlere ilişkin </w:t>
      </w:r>
      <w:proofErr w:type="spellStart"/>
      <w:r>
        <w:t>Green</w:t>
      </w:r>
      <w:proofErr w:type="spellEnd"/>
      <w:r>
        <w:t xml:space="preserve"> </w:t>
      </w:r>
      <w:proofErr w:type="spellStart"/>
      <w:r>
        <w:t>Mansion</w:t>
      </w:r>
      <w:proofErr w:type="spellEnd"/>
      <w:r>
        <w:t xml:space="preserve"> uyum durumunu özetlemektedir.</w:t>
      </w:r>
    </w:p>
    <w:p w14:paraId="526C80C8" w14:textId="77777777" w:rsidR="00E47100" w:rsidRDefault="00E47100">
      <w:pPr>
        <w:spacing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E47100" w14:paraId="78885216" w14:textId="77777777">
        <w:tblPrEx>
          <w:tblCellMar>
            <w:top w:w="0" w:type="dxa"/>
            <w:bottom w:w="0" w:type="dxa"/>
          </w:tblCellMar>
        </w:tblPrEx>
        <w:trPr>
          <w:tblHeader/>
        </w:trPr>
        <w:tc>
          <w:tcPr>
            <w:tcW w:w="260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279554E5" w14:textId="77777777" w:rsidR="00E47100" w:rsidRDefault="00000000">
            <w:proofErr w:type="spellStart"/>
            <w:r>
              <w:rPr>
                <w:b/>
                <w:bCs/>
                <w:color w:val="FFFFFF"/>
                <w:sz w:val="18"/>
                <w:szCs w:val="18"/>
              </w:rPr>
              <w:t>GSTC</w:t>
            </w:r>
            <w:proofErr w:type="spellEnd"/>
            <w:r>
              <w:rPr>
                <w:b/>
                <w:bCs/>
                <w:color w:val="FFFFFF"/>
                <w:sz w:val="18"/>
                <w:szCs w:val="18"/>
              </w:rPr>
              <w:t xml:space="preserve"> Kriteri</w:t>
            </w:r>
          </w:p>
        </w:tc>
        <w:tc>
          <w:tcPr>
            <w:tcW w:w="6760" w:type="dxa"/>
            <w:tcBorders>
              <w:top w:val="single" w:sz="1" w:space="0" w:color="1B4332"/>
              <w:left w:val="single" w:sz="1" w:space="0" w:color="1B4332"/>
              <w:bottom w:val="single" w:sz="1" w:space="0" w:color="1B4332"/>
              <w:right w:val="single" w:sz="1" w:space="0" w:color="1B4332"/>
            </w:tcBorders>
            <w:shd w:val="clear" w:color="auto" w:fill="1B4332"/>
            <w:tcMar>
              <w:top w:w="100" w:type="dxa"/>
              <w:left w:w="120" w:type="dxa"/>
              <w:bottom w:w="100" w:type="dxa"/>
              <w:right w:w="120" w:type="dxa"/>
            </w:tcMar>
          </w:tcPr>
          <w:p w14:paraId="26E69FAC" w14:textId="77777777" w:rsidR="00E47100" w:rsidRDefault="00000000">
            <w:proofErr w:type="spellStart"/>
            <w:r>
              <w:rPr>
                <w:b/>
                <w:bCs/>
                <w:color w:val="FFFFFF"/>
                <w:sz w:val="18"/>
                <w:szCs w:val="18"/>
              </w:rPr>
              <w:t>Green</w:t>
            </w:r>
            <w:proofErr w:type="spellEnd"/>
            <w:r>
              <w:rPr>
                <w:b/>
                <w:bCs/>
                <w:color w:val="FFFFFF"/>
                <w:sz w:val="18"/>
                <w:szCs w:val="18"/>
              </w:rPr>
              <w:t xml:space="preserve"> </w:t>
            </w:r>
            <w:proofErr w:type="spellStart"/>
            <w:r>
              <w:rPr>
                <w:b/>
                <w:bCs/>
                <w:color w:val="FFFFFF"/>
                <w:sz w:val="18"/>
                <w:szCs w:val="18"/>
              </w:rPr>
              <w:t>Mansion</w:t>
            </w:r>
            <w:proofErr w:type="spellEnd"/>
            <w:r>
              <w:rPr>
                <w:b/>
                <w:bCs/>
                <w:color w:val="FFFFFF"/>
                <w:sz w:val="18"/>
                <w:szCs w:val="18"/>
              </w:rPr>
              <w:t xml:space="preserve"> Uygulamaları</w:t>
            </w:r>
          </w:p>
        </w:tc>
      </w:tr>
      <w:tr w:rsidR="00E47100" w14:paraId="0948F597"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20C21692" w14:textId="77777777" w:rsidR="00E47100" w:rsidRDefault="00000000">
            <w:r>
              <w:rPr>
                <w:b/>
                <w:bCs/>
                <w:color w:val="1B4332"/>
                <w:sz w:val="18"/>
                <w:szCs w:val="18"/>
              </w:rPr>
              <w:t>A — Yönetim</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0E8AD30" w14:textId="77777777" w:rsidR="00E47100" w:rsidRDefault="00000000">
            <w:pPr>
              <w:jc w:val="both"/>
            </w:pPr>
            <w:r>
              <w:rPr>
                <w:sz w:val="18"/>
                <w:szCs w:val="18"/>
              </w:rPr>
              <w:t>Sürdürülebilirlik politikası, yönetim sistemi, personel eğitimi, yasal uyum, tedarik zinciri yönetimi — Tam Uyum</w:t>
            </w:r>
          </w:p>
        </w:tc>
      </w:tr>
      <w:tr w:rsidR="00E47100" w14:paraId="6B5287D3"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024B97" w14:textId="77777777" w:rsidR="00E47100" w:rsidRDefault="00000000">
            <w:r>
              <w:rPr>
                <w:b/>
                <w:bCs/>
                <w:color w:val="1B4332"/>
                <w:sz w:val="18"/>
                <w:szCs w:val="18"/>
              </w:rPr>
              <w:t>B — Çevre</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1AC05D" w14:textId="77777777" w:rsidR="00E47100" w:rsidRDefault="00000000">
            <w:pPr>
              <w:jc w:val="both"/>
            </w:pPr>
            <w:r>
              <w:rPr>
                <w:sz w:val="18"/>
                <w:szCs w:val="18"/>
              </w:rPr>
              <w:t>Enerji tasarrufu, su yönetimi, atık azaltma, kimyasal yönetim, emisyon kontrolü, biyoçeşitlilik — Büyük Ölçüde Uyum</w:t>
            </w:r>
          </w:p>
        </w:tc>
      </w:tr>
      <w:tr w:rsidR="00E47100" w14:paraId="0A0766DD"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583193E6" w14:textId="77777777" w:rsidR="00E47100" w:rsidRDefault="00000000">
            <w:r>
              <w:rPr>
                <w:b/>
                <w:bCs/>
                <w:color w:val="1B4332"/>
                <w:sz w:val="18"/>
                <w:szCs w:val="18"/>
              </w:rPr>
              <w:t>C — Kültürel Miras</w:t>
            </w:r>
          </w:p>
        </w:tc>
        <w:tc>
          <w:tcPr>
            <w:tcW w:w="6760" w:type="dxa"/>
            <w:tcBorders>
              <w:top w:val="single" w:sz="1" w:space="0" w:color="AAAAAA"/>
              <w:left w:val="single" w:sz="1" w:space="0" w:color="AAAAAA"/>
              <w:bottom w:val="single" w:sz="1" w:space="0" w:color="AAAAAA"/>
              <w:right w:val="single" w:sz="1" w:space="0" w:color="AAAAAA"/>
            </w:tcBorders>
            <w:shd w:val="clear" w:color="auto" w:fill="D8F3DC"/>
            <w:tcMar>
              <w:top w:w="80" w:type="dxa"/>
              <w:left w:w="120" w:type="dxa"/>
              <w:bottom w:w="80" w:type="dxa"/>
              <w:right w:w="120" w:type="dxa"/>
            </w:tcMar>
          </w:tcPr>
          <w:p w14:paraId="0103CE21" w14:textId="77777777" w:rsidR="00E47100" w:rsidRDefault="00000000">
            <w:pPr>
              <w:jc w:val="both"/>
            </w:pPr>
            <w:r>
              <w:rPr>
                <w:sz w:val="18"/>
                <w:szCs w:val="18"/>
              </w:rPr>
              <w:t>Tarihi yapı koruma, kültürel deneyim sunumu, yerel sanatçı desteği, ziyaret yönetimi — Tam Uyum</w:t>
            </w:r>
          </w:p>
        </w:tc>
      </w:tr>
      <w:tr w:rsidR="00E47100" w14:paraId="2E9BB15A"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901D978" w14:textId="77777777" w:rsidR="00E47100" w:rsidRDefault="00000000">
            <w:r>
              <w:rPr>
                <w:b/>
                <w:bCs/>
                <w:color w:val="1B4332"/>
                <w:sz w:val="18"/>
                <w:szCs w:val="18"/>
              </w:rPr>
              <w:t>D — Sosyal/Ekonomik</w:t>
            </w:r>
          </w:p>
        </w:tc>
        <w:tc>
          <w:tcPr>
            <w:tcW w:w="6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700A3E1" w14:textId="77777777" w:rsidR="00E47100" w:rsidRDefault="00000000">
            <w:pPr>
              <w:jc w:val="both"/>
            </w:pPr>
            <w:r>
              <w:rPr>
                <w:sz w:val="18"/>
                <w:szCs w:val="18"/>
              </w:rPr>
              <w:t>Yerel istihdam, adil tedarik, insan hakları, toplum katılımı, erişilebilirlik — Büyük Ölçüde Uyum</w:t>
            </w:r>
          </w:p>
        </w:tc>
      </w:tr>
    </w:tbl>
    <w:p w14:paraId="25EF8F88" w14:textId="77777777" w:rsidR="00E47100" w:rsidRDefault="00E47100">
      <w:pPr>
        <w:spacing w:after="200"/>
      </w:pPr>
    </w:p>
    <w:p w14:paraId="726212F8" w14:textId="77777777" w:rsidR="00E47100" w:rsidRDefault="00000000">
      <w:pPr>
        <w:pStyle w:val="Balk1"/>
        <w:pBdr>
          <w:bottom w:val="single" w:sz="8" w:space="4" w:color="52B788"/>
        </w:pBdr>
      </w:pPr>
      <w:r>
        <w:t>HEDEFLER VE YILLIK EYLEM PLANI</w:t>
      </w:r>
    </w:p>
    <w:p w14:paraId="377EA7A2" w14:textId="77777777" w:rsidR="00E47100" w:rsidRDefault="00E47100">
      <w:pPr>
        <w:spacing w:after="100"/>
      </w:pPr>
    </w:p>
    <w:p w14:paraId="10F1CF24" w14:textId="77777777" w:rsidR="00E47100" w:rsidRDefault="00000000">
      <w:pPr>
        <w:spacing w:before="80" w:after="120" w:line="320" w:lineRule="auto"/>
        <w:jc w:val="both"/>
      </w:pPr>
      <w:r>
        <w:t>Sürdürülebilirlik sürekli gelişimi gerektiren dinamik bir süreçtir. Aşağıdaki alanlarda somut adımlar atılması planlanmaktadır:</w:t>
      </w:r>
    </w:p>
    <w:p w14:paraId="27A45107" w14:textId="77777777" w:rsidR="00E47100" w:rsidRDefault="00E47100">
      <w:pPr>
        <w:spacing w:after="100"/>
      </w:pPr>
    </w:p>
    <w:p w14:paraId="65C52ED1" w14:textId="77777777" w:rsidR="00E47100" w:rsidRDefault="00000000">
      <w:pPr>
        <w:pStyle w:val="Balk2"/>
      </w:pPr>
      <w:r>
        <w:t>2025-2026 Öncelikli Hedefler</w:t>
      </w:r>
    </w:p>
    <w:p w14:paraId="58A1E762" w14:textId="77777777" w:rsidR="00E47100" w:rsidRDefault="00000000">
      <w:pPr>
        <w:pStyle w:val="ListeParagraf"/>
        <w:numPr>
          <w:ilvl w:val="0"/>
          <w:numId w:val="2"/>
        </w:numPr>
        <w:spacing w:before="60" w:after="60" w:line="300" w:lineRule="auto"/>
      </w:pPr>
      <w:r>
        <w:t>Yenilenebilir enerji temini için tedarik sözleşmesi müzakerelerini tamamlamak</w:t>
      </w:r>
    </w:p>
    <w:p w14:paraId="5636842D" w14:textId="77777777" w:rsidR="00E47100" w:rsidRDefault="00000000">
      <w:pPr>
        <w:pStyle w:val="ListeParagraf"/>
        <w:numPr>
          <w:ilvl w:val="0"/>
          <w:numId w:val="2"/>
        </w:numPr>
        <w:spacing w:before="60" w:after="60" w:line="300" w:lineRule="auto"/>
      </w:pPr>
      <w:r>
        <w:t>Tüm oda ve genel alanlarda tek kullanımlık plastiği tamamen elimine etmek</w:t>
      </w:r>
    </w:p>
    <w:p w14:paraId="04798991" w14:textId="77777777" w:rsidR="00E47100" w:rsidRDefault="00000000">
      <w:pPr>
        <w:pStyle w:val="ListeParagraf"/>
        <w:numPr>
          <w:ilvl w:val="0"/>
          <w:numId w:val="2"/>
        </w:numPr>
        <w:spacing w:before="60" w:after="60" w:line="300" w:lineRule="auto"/>
      </w:pPr>
      <w:r>
        <w:lastRenderedPageBreak/>
        <w:t>Yerel kültür kuruluşlarıyla yıllık toplum etkinliği ortaklık programını genişletmek</w:t>
      </w:r>
    </w:p>
    <w:p w14:paraId="459F43A3" w14:textId="77777777" w:rsidR="00E47100" w:rsidRDefault="00000000">
      <w:pPr>
        <w:pStyle w:val="ListeParagraf"/>
        <w:numPr>
          <w:ilvl w:val="0"/>
          <w:numId w:val="2"/>
        </w:numPr>
        <w:spacing w:before="60" w:after="60" w:line="300" w:lineRule="auto"/>
      </w:pPr>
      <w:r>
        <w:t>Çalışan sürdürülebilirlik eğitim saat ortalamasını artırmak</w:t>
      </w:r>
    </w:p>
    <w:p w14:paraId="09F29464" w14:textId="77777777" w:rsidR="00E47100" w:rsidRDefault="00000000">
      <w:pPr>
        <w:pStyle w:val="ListeParagraf"/>
        <w:numPr>
          <w:ilvl w:val="0"/>
          <w:numId w:val="2"/>
        </w:numPr>
        <w:spacing w:before="60" w:after="60" w:line="300" w:lineRule="auto"/>
      </w:pPr>
      <w:r>
        <w:t>Konuk memnuniyet anketi kapsamına sürdürülebilirlik geri bildirim bölümü eklemek</w:t>
      </w:r>
    </w:p>
    <w:p w14:paraId="3A338171" w14:textId="77777777" w:rsidR="00E47100" w:rsidRDefault="00000000">
      <w:pPr>
        <w:pStyle w:val="ListeParagraf"/>
        <w:numPr>
          <w:ilvl w:val="0"/>
          <w:numId w:val="2"/>
        </w:numPr>
        <w:spacing w:before="60" w:after="60" w:line="300" w:lineRule="auto"/>
      </w:pPr>
      <w:r>
        <w:t>Çevre dostu ulaşım teşvik programını (bisiklet, toplu taşım bilgilendirmesi) hayata geçirmek</w:t>
      </w:r>
    </w:p>
    <w:p w14:paraId="64F99FF8" w14:textId="77777777" w:rsidR="00E47100" w:rsidRDefault="00000000">
      <w:pPr>
        <w:pStyle w:val="ListeParagraf"/>
        <w:numPr>
          <w:ilvl w:val="0"/>
          <w:numId w:val="2"/>
        </w:numPr>
        <w:spacing w:before="60" w:after="60" w:line="300" w:lineRule="auto"/>
      </w:pPr>
      <w:r>
        <w:t>Tedarikçi değerlendirme sistemini dijitalleştirmek ve süreç standartlarını yükseltmek</w:t>
      </w:r>
    </w:p>
    <w:p w14:paraId="577AD7B7" w14:textId="77777777" w:rsidR="00E47100" w:rsidRDefault="00E47100">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04C103B1" w14:textId="77777777">
        <w:tblPrEx>
          <w:tblCellMar>
            <w:top w:w="0" w:type="dxa"/>
            <w:bottom w:w="0" w:type="dxa"/>
          </w:tblCellMar>
        </w:tblPrEx>
        <w:tc>
          <w:tcPr>
            <w:tcW w:w="0" w:type="auto"/>
            <w:tcBorders>
              <w:top w:val="single" w:sz="1" w:space="0" w:color="B5893A"/>
              <w:left w:val="single" w:sz="1" w:space="0" w:color="B5893A"/>
              <w:bottom w:val="single" w:sz="1" w:space="0" w:color="B5893A"/>
              <w:right w:val="single" w:sz="1" w:space="0" w:color="B5893A"/>
            </w:tcBorders>
            <w:shd w:val="clear" w:color="auto" w:fill="FDF6EC"/>
            <w:tcMar>
              <w:top w:w="160" w:type="dxa"/>
              <w:left w:w="200" w:type="dxa"/>
              <w:bottom w:w="160" w:type="dxa"/>
              <w:right w:w="200" w:type="dxa"/>
            </w:tcMar>
          </w:tcPr>
          <w:p w14:paraId="1EB27388" w14:textId="77777777" w:rsidR="00E47100" w:rsidRDefault="00000000">
            <w:pPr>
              <w:spacing w:after="80"/>
            </w:pPr>
            <w:r>
              <w:rPr>
                <w:b/>
                <w:bCs/>
                <w:color w:val="B5893A"/>
              </w:rPr>
              <w:t>Sürekli İyileştirme Taahhüdü</w:t>
            </w:r>
          </w:p>
          <w:p w14:paraId="3F06D909" w14:textId="77777777" w:rsidR="00E47100" w:rsidRDefault="00000000">
            <w:pPr>
              <w:jc w:val="both"/>
            </w:pPr>
            <w:proofErr w:type="spellStart"/>
            <w:r>
              <w:t>Green</w:t>
            </w:r>
            <w:proofErr w:type="spellEnd"/>
            <w:r>
              <w:t xml:space="preserve"> </w:t>
            </w:r>
            <w:proofErr w:type="spellStart"/>
            <w:r>
              <w:t>Mansion</w:t>
            </w:r>
            <w:proofErr w:type="spellEnd"/>
            <w:r>
              <w:t xml:space="preserve">, her yıl güncellenecek bu raporla sürdürülebilirlik performansını şeffaf biçimde paylaşmayı ve </w:t>
            </w:r>
            <w:proofErr w:type="spellStart"/>
            <w:r>
              <w:t>GSTC</w:t>
            </w:r>
            <w:proofErr w:type="spellEnd"/>
            <w:r>
              <w:t xml:space="preserve"> kriterlerindeki tam uyum düzeyini koruyarak daha da ileriye taşımayı taahhüt eder. Hedeflerimiz sabit değil; her yıl büyüyen bir sorumluluk bilinciyle yeniden belirlenmektedir.</w:t>
            </w:r>
          </w:p>
        </w:tc>
      </w:tr>
    </w:tbl>
    <w:p w14:paraId="7BB75378" w14:textId="77777777" w:rsidR="00E47100" w:rsidRDefault="00E47100">
      <w:pPr>
        <w:spacing w:after="200"/>
      </w:pPr>
    </w:p>
    <w:p w14:paraId="430A2F4F" w14:textId="77777777" w:rsidR="00E47100" w:rsidRDefault="00000000">
      <w:pPr>
        <w:pStyle w:val="Balk1"/>
        <w:pBdr>
          <w:bottom w:val="single" w:sz="8" w:space="4" w:color="52B788"/>
        </w:pBdr>
      </w:pPr>
      <w:r>
        <w:t>RAPORLAMA ÇERÇEVESİ VE METODOLOJİ</w:t>
      </w:r>
    </w:p>
    <w:p w14:paraId="78C5C82E" w14:textId="77777777" w:rsidR="00E47100" w:rsidRDefault="00E47100">
      <w:pPr>
        <w:spacing w:after="100"/>
      </w:pPr>
    </w:p>
    <w:p w14:paraId="569D8EC9" w14:textId="77777777" w:rsidR="00E47100" w:rsidRDefault="00000000">
      <w:pPr>
        <w:spacing w:before="80" w:after="120" w:line="320" w:lineRule="auto"/>
        <w:jc w:val="both"/>
      </w:pPr>
      <w:r>
        <w:t xml:space="preserve">Bu rapor, </w:t>
      </w:r>
      <w:proofErr w:type="spellStart"/>
      <w:r>
        <w:t>GSTC</w:t>
      </w:r>
      <w:proofErr w:type="spellEnd"/>
      <w:r>
        <w:t xml:space="preserve"> (Global </w:t>
      </w:r>
      <w:proofErr w:type="spellStart"/>
      <w:r>
        <w:t>Sustainable</w:t>
      </w:r>
      <w:proofErr w:type="spellEnd"/>
      <w:r>
        <w:t xml:space="preserve"> </w:t>
      </w:r>
      <w:proofErr w:type="spellStart"/>
      <w:r>
        <w:t>Tourism</w:t>
      </w:r>
      <w:proofErr w:type="spellEnd"/>
      <w:r>
        <w:t xml:space="preserve"> </w:t>
      </w:r>
      <w:proofErr w:type="spellStart"/>
      <w:r>
        <w:t>Council</w:t>
      </w:r>
      <w:proofErr w:type="spellEnd"/>
      <w:r>
        <w:t>) Otel &amp; Konaklama Kriterleri Versiyonu 3 esas alınarak hazırlanmıştır. Raporlama dönemi 2025 takvim yılını kapsamakta olup önceki yılların politika ve yatırımlarını da içermektedir.</w:t>
      </w:r>
    </w:p>
    <w:p w14:paraId="757B9B72" w14:textId="77777777" w:rsidR="00E47100" w:rsidRDefault="00E47100">
      <w:pPr>
        <w:spacing w:after="100"/>
      </w:pPr>
    </w:p>
    <w:p w14:paraId="220749DE" w14:textId="77777777" w:rsidR="00E47100" w:rsidRDefault="00000000">
      <w:pPr>
        <w:spacing w:before="80" w:after="120" w:line="320" w:lineRule="auto"/>
        <w:jc w:val="both"/>
      </w:pPr>
      <w:r>
        <w:t>Raporda kullanılan metodoloji; nitel politika değerlendirmesi, çalışan ve konuk görüşmeleri, tedarikçi belge incelemeleri ve sahada gerçekleştirilen denetimlerden oluşmaktadır. Değerlendirme sürecinde dış danışman desteği alınmış olup raporun tarafsızlığı ve güvenilirliği bu sayede güçlendirilmiştir.</w:t>
      </w:r>
    </w:p>
    <w:p w14:paraId="0CA9A13E" w14:textId="77777777" w:rsidR="00E47100" w:rsidRDefault="00E47100">
      <w:pPr>
        <w:spacing w:after="100"/>
      </w:pPr>
    </w:p>
    <w:p w14:paraId="629B87F6" w14:textId="77777777" w:rsidR="00E47100" w:rsidRDefault="00000000">
      <w:pPr>
        <w:spacing w:before="60" w:after="80" w:line="300" w:lineRule="auto"/>
        <w:jc w:val="both"/>
      </w:pPr>
      <w:r>
        <w:rPr>
          <w:i/>
          <w:iCs/>
          <w:color w:val="6B6B6B"/>
        </w:rPr>
        <w:t xml:space="preserve">Bu rapor; </w:t>
      </w:r>
      <w:proofErr w:type="spellStart"/>
      <w:r>
        <w:rPr>
          <w:i/>
          <w:iCs/>
          <w:color w:val="6B6B6B"/>
        </w:rPr>
        <w:t>GSTC</w:t>
      </w:r>
      <w:proofErr w:type="spellEnd"/>
      <w:r>
        <w:rPr>
          <w:i/>
          <w:iCs/>
          <w:color w:val="6B6B6B"/>
        </w:rPr>
        <w:t xml:space="preserve"> A, B, C ve D kategorilerini kapsayan tam uyum değerlendirmesidir. Gelecek dönemde üçüncü taraf doğrulaması alınması hedeflenmektedir.</w:t>
      </w:r>
    </w:p>
    <w:p w14:paraId="03BBCA4D" w14:textId="77777777" w:rsidR="00E47100" w:rsidRDefault="00E47100">
      <w:pPr>
        <w:spacing w:after="200"/>
      </w:pPr>
    </w:p>
    <w:p w14:paraId="564CAEF5" w14:textId="77777777" w:rsidR="00E47100" w:rsidRDefault="00000000">
      <w:r>
        <w:br w:type="page"/>
      </w:r>
    </w:p>
    <w:p w14:paraId="56E0D5AD" w14:textId="77777777" w:rsidR="00E47100" w:rsidRDefault="00E47100">
      <w:pPr>
        <w:spacing w:after="3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E47100" w14:paraId="69DCE3E6" w14:textId="77777777">
        <w:tblPrEx>
          <w:tblCellMar>
            <w:top w:w="0" w:type="dxa"/>
            <w:bottom w:w="0" w:type="dxa"/>
          </w:tblCellMar>
        </w:tblPrEx>
        <w:tc>
          <w:tcPr>
            <w:tcW w:w="0" w:type="auto"/>
            <w:tcBorders>
              <w:top w:val="single" w:sz="12" w:space="0" w:color="1B4332"/>
              <w:left w:val="none" w:sz="0" w:space="0" w:color="FFFFFF"/>
              <w:bottom w:val="single" w:sz="12" w:space="0" w:color="1B4332"/>
              <w:right w:val="none" w:sz="0" w:space="0" w:color="FFFFFF"/>
            </w:tcBorders>
            <w:shd w:val="clear" w:color="auto" w:fill="F8F5EF"/>
            <w:tcMar>
              <w:top w:w="400" w:type="dxa"/>
              <w:left w:w="400" w:type="dxa"/>
              <w:bottom w:w="400" w:type="dxa"/>
              <w:right w:w="400" w:type="dxa"/>
            </w:tcMar>
          </w:tcPr>
          <w:p w14:paraId="0A72448A" w14:textId="77777777" w:rsidR="00E47100" w:rsidRDefault="00000000">
            <w:pPr>
              <w:spacing w:after="100"/>
              <w:jc w:val="center"/>
            </w:pPr>
            <w:proofErr w:type="spellStart"/>
            <w:r>
              <w:rPr>
                <w:rFonts w:ascii="Georgia" w:eastAsia="Georgia" w:hAnsi="Georgia" w:cs="Georgia"/>
                <w:b/>
                <w:bCs/>
                <w:color w:val="1B4332"/>
                <w:sz w:val="40"/>
                <w:szCs w:val="40"/>
              </w:rPr>
              <w:t>GREEN</w:t>
            </w:r>
            <w:proofErr w:type="spellEnd"/>
            <w:r>
              <w:rPr>
                <w:rFonts w:ascii="Georgia" w:eastAsia="Georgia" w:hAnsi="Georgia" w:cs="Georgia"/>
                <w:b/>
                <w:bCs/>
                <w:color w:val="1B4332"/>
                <w:sz w:val="40"/>
                <w:szCs w:val="40"/>
              </w:rPr>
              <w:t xml:space="preserve"> </w:t>
            </w:r>
            <w:proofErr w:type="spellStart"/>
            <w:r>
              <w:rPr>
                <w:rFonts w:ascii="Georgia" w:eastAsia="Georgia" w:hAnsi="Georgia" w:cs="Georgia"/>
                <w:b/>
                <w:bCs/>
                <w:color w:val="1B4332"/>
                <w:sz w:val="40"/>
                <w:szCs w:val="40"/>
              </w:rPr>
              <w:t>MANSION</w:t>
            </w:r>
            <w:proofErr w:type="spellEnd"/>
          </w:p>
          <w:p w14:paraId="5CBC0AD1" w14:textId="77777777" w:rsidR="00E47100" w:rsidRDefault="00000000">
            <w:pPr>
              <w:spacing w:after="200"/>
              <w:jc w:val="center"/>
            </w:pPr>
            <w:r>
              <w:rPr>
                <w:i/>
                <w:iCs/>
                <w:color w:val="2D6A4F"/>
                <w:sz w:val="22"/>
                <w:szCs w:val="22"/>
              </w:rPr>
              <w:t>İstanbul, Fatih</w:t>
            </w:r>
          </w:p>
          <w:p w14:paraId="34F7E5F8" w14:textId="77777777" w:rsidR="00E47100" w:rsidRDefault="00000000">
            <w:pPr>
              <w:spacing w:after="80"/>
              <w:jc w:val="center"/>
            </w:pPr>
            <w:r>
              <w:t>Sürdürülebilirlik Koordinatörlüğü</w:t>
            </w:r>
          </w:p>
          <w:p w14:paraId="253E201B" w14:textId="77777777" w:rsidR="00E47100" w:rsidRDefault="00000000">
            <w:pPr>
              <w:spacing w:after="80"/>
              <w:jc w:val="center"/>
            </w:pPr>
            <w:proofErr w:type="spellStart"/>
            <w:r>
              <w:rPr>
                <w:color w:val="2D6A4F"/>
              </w:rPr>
              <w:t>sustainability@greenmansionfatih.com</w:t>
            </w:r>
            <w:proofErr w:type="spellEnd"/>
          </w:p>
          <w:p w14:paraId="5B626A73" w14:textId="77777777" w:rsidR="00E47100" w:rsidRDefault="00000000">
            <w:pPr>
              <w:spacing w:after="80"/>
              <w:jc w:val="center"/>
            </w:pPr>
            <w:proofErr w:type="spellStart"/>
            <w:r>
              <w:rPr>
                <w:color w:val="2D6A4F"/>
              </w:rPr>
              <w:t>www.greenmansionfatih.com</w:t>
            </w:r>
            <w:proofErr w:type="spellEnd"/>
          </w:p>
          <w:p w14:paraId="699A91EB" w14:textId="77777777" w:rsidR="00E47100" w:rsidRDefault="00000000">
            <w:pPr>
              <w:spacing w:before="200"/>
              <w:jc w:val="center"/>
            </w:pPr>
            <w:r>
              <w:rPr>
                <w:i/>
                <w:iCs/>
                <w:color w:val="6B6B6B"/>
                <w:sz w:val="16"/>
                <w:szCs w:val="16"/>
              </w:rPr>
              <w:t xml:space="preserve">Bu rapor </w:t>
            </w:r>
            <w:proofErr w:type="spellStart"/>
            <w:r>
              <w:rPr>
                <w:i/>
                <w:iCs/>
                <w:color w:val="6B6B6B"/>
                <w:sz w:val="16"/>
                <w:szCs w:val="16"/>
              </w:rPr>
              <w:t>GSTC</w:t>
            </w:r>
            <w:proofErr w:type="spellEnd"/>
            <w:r>
              <w:rPr>
                <w:i/>
                <w:iCs/>
                <w:color w:val="6B6B6B"/>
                <w:sz w:val="16"/>
                <w:szCs w:val="16"/>
              </w:rPr>
              <w:t xml:space="preserve"> Aşama 3 Tam Kriterler çerçevesinde hazırlanmıştır.</w:t>
            </w:r>
          </w:p>
        </w:tc>
      </w:tr>
    </w:tbl>
    <w:p w14:paraId="5A1FCE3D" w14:textId="77777777" w:rsidR="00E47100" w:rsidRDefault="00E47100">
      <w:pPr>
        <w:spacing w:after="300"/>
      </w:pPr>
    </w:p>
    <w:p w14:paraId="1137D247" w14:textId="77777777" w:rsidR="00E47100" w:rsidRDefault="00000000">
      <w:pPr>
        <w:jc w:val="center"/>
      </w:pPr>
      <w:r>
        <w:rPr>
          <w:rFonts w:ascii="Georgia" w:eastAsia="Georgia" w:hAnsi="Georgia" w:cs="Georgia"/>
          <w:i/>
          <w:iCs/>
          <w:color w:val="B5893A"/>
          <w:sz w:val="22"/>
          <w:szCs w:val="22"/>
        </w:rPr>
        <w:t>"Tarihin üzerinde yükselen, geleceğe duyarlı bir konaklama deneyimi."</w:t>
      </w:r>
    </w:p>
    <w:sectPr w:rsidR="00E47100">
      <w:headerReference w:type="default" r:id="rId7"/>
      <w:footerReference w:type="default" r:id="rId8"/>
      <w:pgSz w:w="11906" w:h="16838"/>
      <w:pgMar w:top="1200" w:right="1200" w:bottom="120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6BF4" w14:textId="77777777" w:rsidR="00595021" w:rsidRDefault="00595021">
      <w:r>
        <w:separator/>
      </w:r>
    </w:p>
  </w:endnote>
  <w:endnote w:type="continuationSeparator" w:id="0">
    <w:p w14:paraId="18ECAB70" w14:textId="77777777" w:rsidR="00595021" w:rsidRDefault="0059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0C4F" w14:textId="77777777" w:rsidR="00E47100" w:rsidRDefault="00000000">
    <w:pPr>
      <w:pBdr>
        <w:top w:val="single" w:sz="4" w:space="4" w:color="52B788"/>
      </w:pBdr>
      <w:tabs>
        <w:tab w:val="right" w:pos="9026"/>
      </w:tabs>
      <w:spacing w:before="100"/>
    </w:pPr>
    <w:proofErr w:type="spellStart"/>
    <w:r>
      <w:rPr>
        <w:color w:val="6B6B6B"/>
        <w:sz w:val="16"/>
        <w:szCs w:val="16"/>
      </w:rPr>
      <w:t>Green</w:t>
    </w:r>
    <w:proofErr w:type="spellEnd"/>
    <w:r>
      <w:rPr>
        <w:color w:val="6B6B6B"/>
        <w:sz w:val="16"/>
        <w:szCs w:val="16"/>
      </w:rPr>
      <w:t xml:space="preserve"> </w:t>
    </w:r>
    <w:proofErr w:type="spellStart"/>
    <w:r>
      <w:rPr>
        <w:color w:val="6B6B6B"/>
        <w:sz w:val="16"/>
        <w:szCs w:val="16"/>
      </w:rPr>
      <w:t>Mansion</w:t>
    </w:r>
    <w:proofErr w:type="spellEnd"/>
    <w:r>
      <w:rPr>
        <w:color w:val="6B6B6B"/>
        <w:sz w:val="16"/>
        <w:szCs w:val="16"/>
      </w:rPr>
      <w:t xml:space="preserve">, İstanbul Fatih  |  </w:t>
    </w:r>
    <w:proofErr w:type="spellStart"/>
    <w:r>
      <w:rPr>
        <w:color w:val="6B6B6B"/>
        <w:sz w:val="16"/>
        <w:szCs w:val="16"/>
      </w:rPr>
      <w:t>greenmansionfatih.com</w:t>
    </w:r>
    <w:proofErr w:type="spellEnd"/>
    <w:r>
      <w:rPr>
        <w:sz w:val="16"/>
        <w:szCs w:val="16"/>
      </w:rPr>
      <w:tab/>
    </w:r>
    <w:r>
      <w:rPr>
        <w:color w:val="6B6B6B"/>
        <w:sz w:val="16"/>
        <w:szCs w:val="16"/>
      </w:rPr>
      <w:t xml:space="preserve">Sayfa </w:t>
    </w:r>
    <w:r>
      <w:rPr>
        <w:color w:val="6B6B6B"/>
        <w:sz w:val="16"/>
        <w:szCs w:val="16"/>
      </w:rPr>
      <w:fldChar w:fldCharType="begin"/>
    </w:r>
    <w:r>
      <w:rPr>
        <w:color w:val="6B6B6B"/>
        <w:sz w:val="16"/>
        <w:szCs w:val="16"/>
      </w:rPr>
      <w:instrText>PAGE</w:instrText>
    </w:r>
    <w:r>
      <w:rPr>
        <w:color w:val="6B6B6B"/>
        <w:sz w:val="16"/>
        <w:szCs w:val="16"/>
      </w:rPr>
      <w:fldChar w:fldCharType="separate"/>
    </w:r>
    <w:r w:rsidR="002B0552">
      <w:rPr>
        <w:noProof/>
        <w:color w:val="6B6B6B"/>
        <w:sz w:val="16"/>
        <w:szCs w:val="16"/>
      </w:rPr>
      <w:t>1</w:t>
    </w:r>
    <w:r>
      <w:rPr>
        <w:color w:val="6B6B6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9FD2" w14:textId="77777777" w:rsidR="00595021" w:rsidRDefault="00595021">
      <w:r>
        <w:separator/>
      </w:r>
    </w:p>
  </w:footnote>
  <w:footnote w:type="continuationSeparator" w:id="0">
    <w:p w14:paraId="67D09FBE" w14:textId="77777777" w:rsidR="00595021" w:rsidRDefault="0059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FB2" w14:textId="77777777" w:rsidR="00E47100" w:rsidRDefault="00000000">
    <w:pPr>
      <w:pBdr>
        <w:bottom w:val="single" w:sz="4" w:space="4" w:color="52B788"/>
      </w:pBdr>
      <w:spacing w:after="160"/>
    </w:pPr>
    <w:proofErr w:type="spellStart"/>
    <w:r>
      <w:rPr>
        <w:rFonts w:ascii="Georgia" w:eastAsia="Georgia" w:hAnsi="Georgia" w:cs="Georgia"/>
        <w:b/>
        <w:bCs/>
        <w:color w:val="1B4332"/>
        <w:sz w:val="18"/>
        <w:szCs w:val="18"/>
      </w:rPr>
      <w:t>GREEN</w:t>
    </w:r>
    <w:proofErr w:type="spellEnd"/>
    <w:r>
      <w:rPr>
        <w:rFonts w:ascii="Georgia" w:eastAsia="Georgia" w:hAnsi="Georgia" w:cs="Georgia"/>
        <w:b/>
        <w:bCs/>
        <w:color w:val="1B4332"/>
        <w:sz w:val="18"/>
        <w:szCs w:val="18"/>
      </w:rPr>
      <w:t xml:space="preserve"> </w:t>
    </w:r>
    <w:proofErr w:type="spellStart"/>
    <w:r>
      <w:rPr>
        <w:rFonts w:ascii="Georgia" w:eastAsia="Georgia" w:hAnsi="Georgia" w:cs="Georgia"/>
        <w:b/>
        <w:bCs/>
        <w:color w:val="1B4332"/>
        <w:sz w:val="18"/>
        <w:szCs w:val="18"/>
      </w:rPr>
      <w:t>MANSION</w:t>
    </w:r>
    <w:proofErr w:type="spellEnd"/>
    <w:r>
      <w:rPr>
        <w:rFonts w:ascii="Georgia" w:eastAsia="Georgia" w:hAnsi="Georgia" w:cs="Georgia"/>
        <w:b/>
        <w:bCs/>
        <w:color w:val="1B4332"/>
        <w:sz w:val="18"/>
        <w:szCs w:val="18"/>
      </w:rPr>
      <w:t xml:space="preserve">  </w:t>
    </w:r>
    <w:r>
      <w:rPr>
        <w:color w:val="2D6A4F"/>
        <w:sz w:val="18"/>
        <w:szCs w:val="18"/>
      </w:rPr>
      <w:t>| Sürdürülebilirlik Raporu 2025</w:t>
    </w:r>
    <w:r>
      <w:rPr>
        <w:i/>
        <w:iCs/>
        <w:color w:val="6B6B6B"/>
        <w:sz w:val="16"/>
        <w:szCs w:val="16"/>
      </w:rPr>
      <w:t xml:space="preserve">          </w:t>
    </w:r>
    <w:proofErr w:type="spellStart"/>
    <w:r>
      <w:rPr>
        <w:i/>
        <w:iCs/>
        <w:color w:val="6B6B6B"/>
        <w:sz w:val="16"/>
        <w:szCs w:val="16"/>
      </w:rPr>
      <w:t>GSTC</w:t>
    </w:r>
    <w:proofErr w:type="spellEnd"/>
    <w:r>
      <w:rPr>
        <w:i/>
        <w:iCs/>
        <w:color w:val="6B6B6B"/>
        <w:sz w:val="16"/>
        <w:szCs w:val="16"/>
      </w:rPr>
      <w:t xml:space="preserve"> Tam Kriterler — Aşama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36F84"/>
    <w:multiLevelType w:val="hybridMultilevel"/>
    <w:tmpl w:val="E3F6F92C"/>
    <w:lvl w:ilvl="0" w:tplc="94D092AC">
      <w:start w:val="1"/>
      <w:numFmt w:val="bullet"/>
      <w:lvlText w:val="◆"/>
      <w:lvlJc w:val="left"/>
      <w:pPr>
        <w:ind w:left="720" w:hanging="360"/>
      </w:pPr>
      <w:rPr>
        <w:rFonts w:ascii="Arial" w:eastAsia="Arial" w:hAnsi="Arial" w:cs="Arial"/>
        <w:color w:val="2D6A4F"/>
        <w:sz w:val="18"/>
        <w:szCs w:val="18"/>
      </w:rPr>
    </w:lvl>
    <w:lvl w:ilvl="1" w:tplc="55227EB6">
      <w:numFmt w:val="decimal"/>
      <w:lvlText w:val=""/>
      <w:lvlJc w:val="left"/>
    </w:lvl>
    <w:lvl w:ilvl="2" w:tplc="A5CAB18E">
      <w:numFmt w:val="decimal"/>
      <w:lvlText w:val=""/>
      <w:lvlJc w:val="left"/>
    </w:lvl>
    <w:lvl w:ilvl="3" w:tplc="4740D4A8">
      <w:numFmt w:val="decimal"/>
      <w:lvlText w:val=""/>
      <w:lvlJc w:val="left"/>
    </w:lvl>
    <w:lvl w:ilvl="4" w:tplc="BC6E49B8">
      <w:numFmt w:val="decimal"/>
      <w:lvlText w:val=""/>
      <w:lvlJc w:val="left"/>
    </w:lvl>
    <w:lvl w:ilvl="5" w:tplc="6A42BD9E">
      <w:numFmt w:val="decimal"/>
      <w:lvlText w:val=""/>
      <w:lvlJc w:val="left"/>
    </w:lvl>
    <w:lvl w:ilvl="6" w:tplc="FDC03A90">
      <w:numFmt w:val="decimal"/>
      <w:lvlText w:val=""/>
      <w:lvlJc w:val="left"/>
    </w:lvl>
    <w:lvl w:ilvl="7" w:tplc="2B8E3E4E">
      <w:numFmt w:val="decimal"/>
      <w:lvlText w:val=""/>
      <w:lvlJc w:val="left"/>
    </w:lvl>
    <w:lvl w:ilvl="8" w:tplc="94A2AA7E">
      <w:numFmt w:val="decimal"/>
      <w:lvlText w:val=""/>
      <w:lvlJc w:val="left"/>
    </w:lvl>
  </w:abstractNum>
  <w:abstractNum w:abstractNumId="1" w15:restartNumberingAfterBreak="0">
    <w:nsid w:val="7A2949DC"/>
    <w:multiLevelType w:val="hybridMultilevel"/>
    <w:tmpl w:val="A490B23E"/>
    <w:lvl w:ilvl="0" w:tplc="8DF8C52C">
      <w:start w:val="1"/>
      <w:numFmt w:val="bullet"/>
      <w:lvlText w:val="●"/>
      <w:lvlJc w:val="left"/>
      <w:pPr>
        <w:ind w:left="720" w:hanging="360"/>
      </w:pPr>
    </w:lvl>
    <w:lvl w:ilvl="1" w:tplc="B4C8DA48">
      <w:start w:val="1"/>
      <w:numFmt w:val="bullet"/>
      <w:lvlText w:val="○"/>
      <w:lvlJc w:val="left"/>
      <w:pPr>
        <w:ind w:left="1440" w:hanging="360"/>
      </w:pPr>
    </w:lvl>
    <w:lvl w:ilvl="2" w:tplc="AA062F54">
      <w:start w:val="1"/>
      <w:numFmt w:val="bullet"/>
      <w:lvlText w:val="■"/>
      <w:lvlJc w:val="left"/>
      <w:pPr>
        <w:ind w:left="2160" w:hanging="360"/>
      </w:pPr>
    </w:lvl>
    <w:lvl w:ilvl="3" w:tplc="2EC479DC">
      <w:start w:val="1"/>
      <w:numFmt w:val="bullet"/>
      <w:lvlText w:val="●"/>
      <w:lvlJc w:val="left"/>
      <w:pPr>
        <w:ind w:left="2880" w:hanging="360"/>
      </w:pPr>
    </w:lvl>
    <w:lvl w:ilvl="4" w:tplc="8D0A3D20">
      <w:start w:val="1"/>
      <w:numFmt w:val="bullet"/>
      <w:lvlText w:val="○"/>
      <w:lvlJc w:val="left"/>
      <w:pPr>
        <w:ind w:left="3600" w:hanging="360"/>
      </w:pPr>
    </w:lvl>
    <w:lvl w:ilvl="5" w:tplc="61CE7748">
      <w:start w:val="1"/>
      <w:numFmt w:val="bullet"/>
      <w:lvlText w:val="■"/>
      <w:lvlJc w:val="left"/>
      <w:pPr>
        <w:ind w:left="4320" w:hanging="360"/>
      </w:pPr>
    </w:lvl>
    <w:lvl w:ilvl="6" w:tplc="7ED2DAD4">
      <w:start w:val="1"/>
      <w:numFmt w:val="bullet"/>
      <w:lvlText w:val="●"/>
      <w:lvlJc w:val="left"/>
      <w:pPr>
        <w:ind w:left="5040" w:hanging="360"/>
      </w:pPr>
    </w:lvl>
    <w:lvl w:ilvl="7" w:tplc="7BD29DF6">
      <w:start w:val="1"/>
      <w:numFmt w:val="bullet"/>
      <w:lvlText w:val="●"/>
      <w:lvlJc w:val="left"/>
      <w:pPr>
        <w:ind w:left="5760" w:hanging="360"/>
      </w:pPr>
    </w:lvl>
    <w:lvl w:ilvl="8" w:tplc="84AE83AE">
      <w:start w:val="1"/>
      <w:numFmt w:val="bullet"/>
      <w:lvlText w:val="●"/>
      <w:lvlJc w:val="left"/>
      <w:pPr>
        <w:ind w:left="6480" w:hanging="360"/>
      </w:pPr>
    </w:lvl>
  </w:abstractNum>
  <w:num w:numId="1" w16cid:durableId="817266247">
    <w:abstractNumId w:val="1"/>
    <w:lvlOverride w:ilvl="0">
      <w:startOverride w:val="1"/>
    </w:lvlOverride>
  </w:num>
  <w:num w:numId="2" w16cid:durableId="20851043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0"/>
    <w:rsid w:val="002B0552"/>
    <w:rsid w:val="00595021"/>
    <w:rsid w:val="008A53A8"/>
    <w:rsid w:val="00E471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120CBFE"/>
  <w15:docId w15:val="{FB82E889-3D35-3446-BD8A-B7DB4A2D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C2C2C"/>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400" w:after="200"/>
      <w:outlineLvl w:val="0"/>
    </w:pPr>
    <w:rPr>
      <w:rFonts w:ascii="Georgia" w:eastAsia="Georgia" w:hAnsi="Georgia" w:cs="Georgia"/>
      <w:b/>
      <w:bCs/>
      <w:color w:val="1B4332"/>
      <w:sz w:val="28"/>
      <w:szCs w:val="28"/>
    </w:rPr>
  </w:style>
  <w:style w:type="paragraph" w:styleId="Balk2">
    <w:name w:val="heading 2"/>
    <w:uiPriority w:val="9"/>
    <w:unhideWhenUsed/>
    <w:qFormat/>
    <w:pPr>
      <w:spacing w:before="320" w:after="140"/>
      <w:outlineLvl w:val="1"/>
    </w:pPr>
    <w:rPr>
      <w:b/>
      <w:bCs/>
      <w:color w:val="2D6A4F"/>
      <w:sz w:val="24"/>
      <w:szCs w:val="24"/>
    </w:rPr>
  </w:style>
  <w:style w:type="paragraph" w:styleId="Balk3">
    <w:name w:val="heading 3"/>
    <w:uiPriority w:val="9"/>
    <w:unhideWhenUsed/>
    <w:qFormat/>
    <w:pPr>
      <w:spacing w:before="240" w:after="100"/>
      <w:outlineLvl w:val="2"/>
    </w:pPr>
    <w:rPr>
      <w:b/>
      <w:bCs/>
      <w:color w:val="B5893A"/>
      <w:sz w:val="22"/>
      <w:szCs w:val="22"/>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2677</Words>
  <Characters>15260</Characters>
  <Application>Microsoft Office Word</Application>
  <DocSecurity>0</DocSecurity>
  <Lines>127</Lines>
  <Paragraphs>35</Paragraphs>
  <ScaleCrop>false</ScaleCrop>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Dağhan İstaşoğlu</cp:lastModifiedBy>
  <cp:revision>2</cp:revision>
  <dcterms:created xsi:type="dcterms:W3CDTF">2026-04-11T06:51:00Z</dcterms:created>
  <dcterms:modified xsi:type="dcterms:W3CDTF">2026-04-11T06:52:00Z</dcterms:modified>
</cp:coreProperties>
</file>